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pPr>
      <w:r>
        <w:rPr>
          <w:rFonts w:hint="eastAsia"/>
        </w:rPr>
        <w:t>景宁县人力资源和社会保障局本级2020年度部门（单位）决算</w:t>
      </w:r>
    </w:p>
    <w:p>
      <w:pPr>
        <w:pStyle w:val="3"/>
        <w:jc w:val="center"/>
      </w:pPr>
      <w:r>
        <w:rPr>
          <w:rFonts w:hint="eastAsia"/>
        </w:rPr>
        <w:t>目录</w:t>
      </w:r>
    </w:p>
    <w:p>
      <w:pPr>
        <w:rPr>
          <w:sz w:val="28"/>
          <w:szCs w:val="28"/>
        </w:rPr>
      </w:pPr>
      <w:r>
        <w:rPr>
          <w:rFonts w:hint="eastAsia"/>
          <w:sz w:val="28"/>
          <w:szCs w:val="28"/>
        </w:rPr>
        <w:t>一、概况................................................................................................( 3 )</w:t>
      </w:r>
    </w:p>
    <w:p>
      <w:pPr>
        <w:jc w:val="left"/>
        <w:rPr>
          <w:sz w:val="28"/>
          <w:szCs w:val="28"/>
        </w:rPr>
      </w:pPr>
      <w:r>
        <w:rPr>
          <w:rFonts w:hint="eastAsia"/>
          <w:sz w:val="28"/>
          <w:szCs w:val="28"/>
        </w:rPr>
        <w:t>（一）部门（单位）职责........................................................................( 3 )</w:t>
      </w:r>
    </w:p>
    <w:p>
      <w:pPr>
        <w:jc w:val="left"/>
        <w:rPr>
          <w:sz w:val="28"/>
          <w:szCs w:val="28"/>
        </w:rPr>
      </w:pPr>
      <w:r>
        <w:rPr>
          <w:rFonts w:hint="eastAsia"/>
          <w:sz w:val="28"/>
          <w:szCs w:val="28"/>
        </w:rPr>
        <w:t>（二）机构设置....................................................................................( 4 )</w:t>
      </w:r>
    </w:p>
    <w:p>
      <w:pPr>
        <w:jc w:val="left"/>
        <w:rPr>
          <w:sz w:val="28"/>
          <w:szCs w:val="28"/>
        </w:rPr>
      </w:pPr>
      <w:r>
        <w:rPr>
          <w:rFonts w:hint="eastAsia"/>
          <w:sz w:val="28"/>
          <w:szCs w:val="28"/>
        </w:rPr>
        <w:t>二、2020年度部门（单位）决算公开表.................................................( 5 )</w:t>
      </w:r>
    </w:p>
    <w:p>
      <w:pPr>
        <w:jc w:val="left"/>
        <w:rPr>
          <w:sz w:val="28"/>
          <w:szCs w:val="28"/>
        </w:rPr>
      </w:pPr>
      <w:r>
        <w:rPr>
          <w:rFonts w:hint="eastAsia"/>
          <w:sz w:val="28"/>
          <w:szCs w:val="28"/>
          <w:lang w:val="zh-CN"/>
        </w:rPr>
        <w:t>三、</w:t>
      </w:r>
      <w:r>
        <w:rPr>
          <w:rFonts w:hint="eastAsia"/>
          <w:sz w:val="28"/>
          <w:szCs w:val="28"/>
        </w:rPr>
        <w:t>2020年度部门（单位）决算情况说明............................................( 5 )</w:t>
      </w:r>
    </w:p>
    <w:p>
      <w:pPr>
        <w:rPr>
          <w:sz w:val="28"/>
          <w:szCs w:val="28"/>
        </w:rPr>
      </w:pPr>
      <w:r>
        <w:rPr>
          <w:rFonts w:hint="eastAsia"/>
          <w:sz w:val="28"/>
          <w:szCs w:val="28"/>
        </w:rPr>
        <w:t>（一）收入支出决算总体情况说明....................................................( 5 )</w:t>
      </w:r>
    </w:p>
    <w:p>
      <w:pPr>
        <w:rPr>
          <w:sz w:val="28"/>
          <w:szCs w:val="28"/>
        </w:rPr>
      </w:pPr>
      <w:r>
        <w:rPr>
          <w:rFonts w:hint="eastAsia"/>
          <w:sz w:val="28"/>
          <w:szCs w:val="28"/>
        </w:rPr>
        <w:t>（二）收入决算情况说明....................................................................( 5 )</w:t>
      </w:r>
    </w:p>
    <w:p>
      <w:pPr>
        <w:rPr>
          <w:sz w:val="28"/>
          <w:szCs w:val="28"/>
        </w:rPr>
      </w:pPr>
      <w:r>
        <w:rPr>
          <w:rFonts w:hint="eastAsia"/>
          <w:sz w:val="28"/>
          <w:szCs w:val="28"/>
        </w:rPr>
        <w:t>（三）支出决算情况说明...................................................................(5 )</w:t>
      </w:r>
    </w:p>
    <w:p>
      <w:pPr>
        <w:rPr>
          <w:sz w:val="28"/>
          <w:szCs w:val="28"/>
        </w:rPr>
      </w:pPr>
      <w:r>
        <w:rPr>
          <w:rFonts w:hint="eastAsia"/>
          <w:sz w:val="28"/>
          <w:szCs w:val="28"/>
        </w:rPr>
        <w:t>（四）财政拨款收入支出决算总体情况说明...................................( 6 )</w:t>
      </w:r>
    </w:p>
    <w:p>
      <w:pPr>
        <w:rPr>
          <w:sz w:val="28"/>
          <w:szCs w:val="28"/>
        </w:rPr>
      </w:pPr>
      <w:r>
        <w:rPr>
          <w:rFonts w:hint="eastAsia"/>
          <w:sz w:val="28"/>
          <w:szCs w:val="28"/>
        </w:rPr>
        <w:t>（五）一般公共预算财政拨款支出决算情况说明............................( 6 )</w:t>
      </w:r>
    </w:p>
    <w:p>
      <w:pPr>
        <w:rPr>
          <w:sz w:val="28"/>
          <w:szCs w:val="28"/>
        </w:rPr>
      </w:pPr>
      <w:r>
        <w:rPr>
          <w:rFonts w:hint="eastAsia"/>
          <w:sz w:val="28"/>
          <w:szCs w:val="28"/>
        </w:rPr>
        <w:t>（六）一般公共预算财政拨款基本支出决算情况说明...................( 10 )</w:t>
      </w:r>
    </w:p>
    <w:p>
      <w:pPr>
        <w:rPr>
          <w:sz w:val="28"/>
          <w:szCs w:val="28"/>
        </w:rPr>
      </w:pPr>
      <w:r>
        <w:rPr>
          <w:rFonts w:hint="eastAsia"/>
          <w:sz w:val="28"/>
          <w:szCs w:val="28"/>
        </w:rPr>
        <w:t>（七）政府性基金预算财政拨款支出</w:t>
      </w:r>
      <w:r>
        <w:rPr>
          <w:rFonts w:hint="eastAsia"/>
          <w:sz w:val="28"/>
          <w:szCs w:val="28"/>
          <w:lang w:val="zh-CN"/>
        </w:rPr>
        <w:t>决算</w:t>
      </w:r>
      <w:r>
        <w:rPr>
          <w:rFonts w:hint="eastAsia"/>
          <w:sz w:val="28"/>
          <w:szCs w:val="28"/>
        </w:rPr>
        <w:t>总体情况说明................(10 )</w:t>
      </w:r>
    </w:p>
    <w:p>
      <w:pPr>
        <w:rPr>
          <w:sz w:val="28"/>
          <w:szCs w:val="28"/>
        </w:rPr>
      </w:pPr>
      <w:r>
        <w:rPr>
          <w:rFonts w:hint="eastAsia"/>
          <w:sz w:val="28"/>
          <w:szCs w:val="28"/>
        </w:rPr>
        <w:t>（八）国有资本经营预算财政拨款支出</w:t>
      </w:r>
      <w:r>
        <w:rPr>
          <w:rFonts w:hint="eastAsia"/>
          <w:sz w:val="28"/>
          <w:szCs w:val="28"/>
          <w:lang w:val="zh-CN"/>
        </w:rPr>
        <w:t>决算</w:t>
      </w:r>
      <w:r>
        <w:rPr>
          <w:rFonts w:hint="eastAsia"/>
          <w:sz w:val="28"/>
          <w:szCs w:val="28"/>
        </w:rPr>
        <w:t>总体情况说明............( 11 )</w:t>
      </w:r>
    </w:p>
    <w:p>
      <w:pPr>
        <w:rPr>
          <w:sz w:val="28"/>
          <w:szCs w:val="28"/>
        </w:rPr>
      </w:pPr>
      <w:r>
        <w:rPr>
          <w:rFonts w:hint="eastAsia"/>
          <w:sz w:val="28"/>
          <w:szCs w:val="28"/>
        </w:rPr>
        <w:t>（九）一般公共预算财政拨款</w:t>
      </w:r>
      <w:r>
        <w:rPr>
          <w:sz w:val="28"/>
          <w:szCs w:val="28"/>
        </w:rPr>
        <w:t>“</w:t>
      </w:r>
      <w:r>
        <w:rPr>
          <w:rFonts w:hint="eastAsia"/>
          <w:sz w:val="28"/>
          <w:szCs w:val="28"/>
        </w:rPr>
        <w:t>三公</w:t>
      </w:r>
      <w:r>
        <w:rPr>
          <w:sz w:val="28"/>
          <w:szCs w:val="28"/>
        </w:rPr>
        <w:t>”</w:t>
      </w:r>
      <w:r>
        <w:rPr>
          <w:rFonts w:hint="eastAsia"/>
          <w:sz w:val="28"/>
          <w:szCs w:val="28"/>
        </w:rPr>
        <w:t>经费支出决算情况说明........( 11 )</w:t>
      </w:r>
    </w:p>
    <w:p>
      <w:pPr>
        <w:rPr>
          <w:sz w:val="28"/>
          <w:szCs w:val="28"/>
        </w:rPr>
      </w:pPr>
      <w:r>
        <w:rPr>
          <w:rFonts w:hint="eastAsia"/>
          <w:sz w:val="28"/>
          <w:szCs w:val="28"/>
        </w:rPr>
        <w:t>（十）机关运行经费支出说明...........................................................( 13 )</w:t>
      </w:r>
    </w:p>
    <w:p>
      <w:pPr>
        <w:rPr>
          <w:sz w:val="28"/>
          <w:szCs w:val="28"/>
        </w:rPr>
      </w:pPr>
      <w:r>
        <w:rPr>
          <w:rFonts w:hint="eastAsia"/>
          <w:sz w:val="28"/>
          <w:szCs w:val="28"/>
        </w:rPr>
        <w:t>（十一）政府采购支出说明...............................................................( 13 )</w:t>
      </w:r>
    </w:p>
    <w:p>
      <w:pPr>
        <w:rPr>
          <w:sz w:val="28"/>
          <w:szCs w:val="28"/>
        </w:rPr>
      </w:pPr>
      <w:r>
        <w:rPr>
          <w:rFonts w:hint="eastAsia"/>
          <w:sz w:val="28"/>
          <w:szCs w:val="28"/>
        </w:rPr>
        <w:t>（十二）国有资产占有情况说明........................................................(13 )</w:t>
      </w:r>
    </w:p>
    <w:p>
      <w:pPr>
        <w:rPr>
          <w:sz w:val="28"/>
          <w:szCs w:val="28"/>
        </w:rPr>
      </w:pPr>
      <w:r>
        <w:rPr>
          <w:rFonts w:hint="eastAsia"/>
          <w:sz w:val="28"/>
          <w:szCs w:val="28"/>
        </w:rPr>
        <w:t>（十三）预算绩效情况说明.............................................................(13 )</w:t>
      </w:r>
    </w:p>
    <w:p>
      <w:pPr>
        <w:rPr>
          <w:sz w:val="28"/>
          <w:szCs w:val="28"/>
        </w:rPr>
      </w:pPr>
      <w:r>
        <w:rPr>
          <w:rFonts w:hint="eastAsia"/>
          <w:sz w:val="28"/>
          <w:szCs w:val="28"/>
        </w:rPr>
        <w:t>四、名词解释.......................................................................................( 18 )</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
    <w:p/>
    <w:p/>
    <w:p/>
    <w:p/>
    <w:p/>
    <w:p/>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rPr>
          <w:rFonts w:hint="eastAsia"/>
          <w:sz w:val="32"/>
          <w:szCs w:val="32"/>
        </w:rPr>
      </w:pPr>
    </w:p>
    <w:p>
      <w:pPr>
        <w:pStyle w:val="2"/>
      </w:pPr>
    </w:p>
    <w:p>
      <w:pPr>
        <w:rPr>
          <w:sz w:val="32"/>
          <w:szCs w:val="32"/>
        </w:rPr>
      </w:pPr>
    </w:p>
    <w:p>
      <w:pPr>
        <w:rPr>
          <w:sz w:val="32"/>
          <w:szCs w:val="32"/>
        </w:rPr>
      </w:pPr>
      <w:r>
        <w:rPr>
          <w:rFonts w:hint="eastAsia"/>
          <w:sz w:val="32"/>
          <w:szCs w:val="32"/>
        </w:rPr>
        <w:t>一、概况</w:t>
      </w:r>
    </w:p>
    <w:p>
      <w:pPr>
        <w:rPr>
          <w:sz w:val="32"/>
          <w:szCs w:val="32"/>
        </w:rPr>
      </w:pPr>
      <w:r>
        <w:rPr>
          <w:rFonts w:hint="eastAsia"/>
          <w:sz w:val="32"/>
          <w:szCs w:val="32"/>
        </w:rPr>
        <w:t>（一）部门（单位）职责</w:t>
      </w:r>
    </w:p>
    <w:p>
      <w:pPr>
        <w:snapToGrid w:val="0"/>
        <w:spacing w:line="360" w:lineRule="auto"/>
        <w:ind w:firstLine="640" w:firstLineChars="200"/>
        <w:rPr>
          <w:rFonts w:ascii="宋体" w:hAnsi="宋体"/>
          <w:bCs/>
          <w:sz w:val="32"/>
          <w:szCs w:val="32"/>
        </w:rPr>
      </w:pPr>
      <w:r>
        <w:rPr>
          <w:rFonts w:hint="eastAsia" w:ascii="宋体" w:hAnsi="宋体"/>
          <w:bCs/>
          <w:sz w:val="32"/>
          <w:szCs w:val="32"/>
        </w:rPr>
        <w:t>1、</w:t>
      </w:r>
      <w:r>
        <w:rPr>
          <w:rFonts w:ascii="宋体" w:hAnsi="宋体"/>
          <w:bCs/>
          <w:sz w:val="32"/>
          <w:szCs w:val="32"/>
        </w:rPr>
        <w:t xml:space="preserve">贯彻执行人力资源和社会保障工作的法律、法规、规章。起草人力资源和社会保障工作规范性文件草案。编制全县人力资源和社会保障事业发展规划，拟订相关政策、改革方案并组织实施和监督检查。负责全县人力资源和社会保障相关领域的统计工作。 </w:t>
      </w:r>
    </w:p>
    <w:p>
      <w:pPr>
        <w:snapToGrid w:val="0"/>
        <w:spacing w:line="360" w:lineRule="auto"/>
        <w:ind w:firstLine="640" w:firstLineChars="200"/>
        <w:rPr>
          <w:rFonts w:ascii="宋体" w:hAnsi="宋体"/>
          <w:bCs/>
          <w:sz w:val="32"/>
          <w:szCs w:val="32"/>
        </w:rPr>
      </w:pPr>
      <w:r>
        <w:rPr>
          <w:rFonts w:hint="eastAsia" w:ascii="宋体" w:hAnsi="宋体"/>
          <w:bCs/>
          <w:sz w:val="32"/>
          <w:szCs w:val="32"/>
        </w:rPr>
        <w:t>2、</w:t>
      </w:r>
      <w:r>
        <w:rPr>
          <w:rFonts w:ascii="宋体" w:hAnsi="宋体"/>
          <w:bCs/>
          <w:sz w:val="32"/>
          <w:szCs w:val="32"/>
        </w:rPr>
        <w:t>负责促进就业工作。拟订统筹城乡的就业发展规划和政策，完善公共就业创业服务体系和就业援助制度。牵头拟订高校毕业生就业政策，负责毕业生离校后的就业指导和服务工作。负责全县中专和职业学校毕业生就业的管理指导。建立健全就业失业的预测预警、监测分析制度。实施技能人员职业资格制度，统筹建立面向城乡劳动者的职业技能培训制度。</w:t>
      </w:r>
    </w:p>
    <w:p>
      <w:pPr>
        <w:snapToGrid w:val="0"/>
        <w:spacing w:line="360" w:lineRule="auto"/>
        <w:ind w:firstLine="640" w:firstLineChars="200"/>
        <w:rPr>
          <w:rFonts w:ascii="宋体" w:hAnsi="宋体"/>
          <w:bCs/>
          <w:sz w:val="32"/>
          <w:szCs w:val="32"/>
        </w:rPr>
      </w:pPr>
      <w:r>
        <w:rPr>
          <w:rFonts w:hint="eastAsia" w:ascii="宋体" w:hAnsi="宋体"/>
          <w:bCs/>
          <w:sz w:val="32"/>
          <w:szCs w:val="32"/>
        </w:rPr>
        <w:t>3、</w:t>
      </w:r>
      <w:r>
        <w:rPr>
          <w:rFonts w:ascii="宋体" w:hAnsi="宋体"/>
          <w:bCs/>
          <w:sz w:val="32"/>
          <w:szCs w:val="32"/>
        </w:rPr>
        <w:t xml:space="preserve">承担人才开发有关工作。协同拟订并组织实施全县人才发展战略、规划和人才工作有关重要政策措施，参与指导和协调全县人才选拔、培养、引进等人才项目的组织实施。负责全县专业技术人才队伍综合管理，牵头推进深化职称制度改革，负责专业技术人员职业资格管理。负责技能人才队伍综合管理，推进技工学校建设，组织拟订技能人才培养、评价、使用和激励政策。拟订人力资源市场发展规划和人力资源服务业发展、人力资源流动政策。负责人才国际交流合作有关工作。 </w:t>
      </w:r>
    </w:p>
    <w:p>
      <w:pPr>
        <w:snapToGrid w:val="0"/>
        <w:spacing w:line="360" w:lineRule="auto"/>
        <w:ind w:firstLine="640" w:firstLineChars="200"/>
        <w:rPr>
          <w:rFonts w:ascii="宋体" w:hAnsi="宋体"/>
          <w:bCs/>
          <w:sz w:val="32"/>
          <w:szCs w:val="32"/>
        </w:rPr>
      </w:pPr>
      <w:r>
        <w:rPr>
          <w:rFonts w:hint="eastAsia" w:ascii="宋体" w:hAnsi="宋体"/>
          <w:bCs/>
          <w:sz w:val="32"/>
          <w:szCs w:val="32"/>
        </w:rPr>
        <w:t>4、</w:t>
      </w:r>
      <w:r>
        <w:rPr>
          <w:rFonts w:ascii="宋体" w:hAnsi="宋体"/>
          <w:bCs/>
          <w:sz w:val="32"/>
          <w:szCs w:val="32"/>
        </w:rPr>
        <w:t xml:space="preserve">负责基本养老保险、工伤保险和失业保险工作。拟订基本养老保险、工伤保险和失业保险政策和标准，依法对其基金进行监督，提高基金统筹层次。会同有关部门实施社会保险调剂制度和组织编制基本养老保险基金、工伤保险基金、失业保险基金预决算草案。组织实施预测预警分析，拟订应对措施，实施预防、调节和控制。拟订补充养老保险基金管理监督制度并组织实施。完善经办服务体系建设。 </w:t>
      </w:r>
    </w:p>
    <w:p>
      <w:pPr>
        <w:snapToGrid w:val="0"/>
        <w:spacing w:line="360" w:lineRule="auto"/>
        <w:ind w:firstLine="640" w:firstLineChars="200"/>
        <w:rPr>
          <w:rFonts w:ascii="宋体" w:hAnsi="宋体"/>
          <w:bCs/>
          <w:sz w:val="32"/>
          <w:szCs w:val="32"/>
        </w:rPr>
      </w:pPr>
      <w:r>
        <w:rPr>
          <w:rFonts w:hint="eastAsia" w:ascii="宋体" w:hAnsi="宋体"/>
          <w:bCs/>
          <w:sz w:val="32"/>
          <w:szCs w:val="32"/>
        </w:rPr>
        <w:t>5、</w:t>
      </w:r>
      <w:r>
        <w:rPr>
          <w:rFonts w:ascii="宋体" w:hAnsi="宋体"/>
          <w:bCs/>
          <w:sz w:val="32"/>
          <w:szCs w:val="32"/>
        </w:rPr>
        <w:t xml:space="preserve">会同有关部门拟订全县企事业单位人员、机关工勤人员收入分配、福利和离退休政策，建立企事业单位人员工资正常增长和支付保障机制。具体承担公务员工资福利工作。综合管理事业单位人员和机关工勤人员人事工作，会同有关部门指导事业单位人事制度改革。负责政府表彰奖励和评比达标工作。 </w:t>
      </w:r>
    </w:p>
    <w:p>
      <w:pPr>
        <w:spacing w:line="360" w:lineRule="auto"/>
        <w:ind w:firstLine="640" w:firstLineChars="200"/>
        <w:rPr>
          <w:rFonts w:ascii="宋体" w:hAnsi="宋体"/>
          <w:sz w:val="32"/>
          <w:szCs w:val="32"/>
        </w:rPr>
      </w:pPr>
      <w:r>
        <w:rPr>
          <w:rFonts w:hint="eastAsia" w:ascii="宋体" w:hAnsi="宋体"/>
          <w:bCs/>
          <w:sz w:val="32"/>
          <w:szCs w:val="32"/>
        </w:rPr>
        <w:t>6、</w:t>
      </w:r>
      <w:r>
        <w:rPr>
          <w:rFonts w:ascii="宋体" w:hAnsi="宋体"/>
          <w:bCs/>
          <w:sz w:val="32"/>
          <w:szCs w:val="32"/>
        </w:rPr>
        <w:t>统筹拟订劳动、人事争议调解仲裁制度和劳动关系政策，完善劳动关系协调机制，制定消除非法使用童工政策和女职工、未成年工特殊劳动保护政策，制定完善工时制度和职工休假制度，组织实施劳动监察，协调劳动者维权工作，组织查处重大违法案件。会同有关部门拟订农民工工作、家庭服务业发展综合性政策和规划，推动相关政策的落实</w:t>
      </w:r>
      <w:r>
        <w:rPr>
          <w:rFonts w:hint="eastAsia" w:ascii="宋体" w:hAnsi="宋体"/>
          <w:sz w:val="32"/>
          <w:szCs w:val="32"/>
        </w:rPr>
        <w:t>。</w:t>
      </w:r>
    </w:p>
    <w:p>
      <w:pPr>
        <w:rPr>
          <w:sz w:val="32"/>
          <w:szCs w:val="32"/>
        </w:rPr>
      </w:pPr>
      <w:r>
        <w:rPr>
          <w:rFonts w:hint="eastAsia"/>
          <w:sz w:val="32"/>
          <w:szCs w:val="32"/>
        </w:rPr>
        <w:t>（二）机构设置</w:t>
      </w:r>
    </w:p>
    <w:p>
      <w:pPr>
        <w:pStyle w:val="2"/>
        <w:ind w:firstLine="640" w:firstLineChars="200"/>
        <w:rPr>
          <w:rFonts w:hint="default" w:ascii="宋体" w:hAnsi="宋体" w:eastAsia="宋体"/>
          <w:color w:val="FF0000"/>
          <w:kern w:val="2"/>
          <w:sz w:val="32"/>
          <w:szCs w:val="32"/>
          <w:lang w:val="en-US" w:eastAsia="zh-CN"/>
        </w:rPr>
      </w:pPr>
      <w:r>
        <w:rPr>
          <w:rFonts w:ascii="宋体" w:hAnsi="宋体" w:eastAsia="宋体"/>
          <w:color w:val="auto"/>
          <w:kern w:val="2"/>
          <w:sz w:val="32"/>
          <w:szCs w:val="32"/>
        </w:rPr>
        <w:t>从预算单位构成看，本单位内设</w:t>
      </w:r>
      <w:r>
        <w:rPr>
          <w:rFonts w:hint="eastAsia" w:ascii="宋体" w:hAnsi="宋体" w:eastAsia="宋体"/>
          <w:color w:val="auto"/>
          <w:kern w:val="2"/>
          <w:sz w:val="32"/>
          <w:szCs w:val="32"/>
          <w:lang w:eastAsia="zh-CN"/>
        </w:rPr>
        <w:t>办公室、政策法规科、人才开发和就业促进科、事业单位人事管理科、工资福利和奖励科、社会保险科、劳动监察大队、劳动关系科等科室。</w:t>
      </w:r>
    </w:p>
    <w:p>
      <w:pPr>
        <w:rPr>
          <w:sz w:val="32"/>
          <w:szCs w:val="32"/>
        </w:rPr>
      </w:pPr>
      <w:r>
        <w:rPr>
          <w:rFonts w:hint="eastAsia"/>
          <w:sz w:val="32"/>
          <w:szCs w:val="32"/>
        </w:rPr>
        <w:t>二、2020年度部门（单位）决算公开表</w:t>
      </w:r>
    </w:p>
    <w:p>
      <w:pPr>
        <w:ind w:firstLine="640" w:firstLineChars="200"/>
        <w:rPr>
          <w:sz w:val="32"/>
          <w:szCs w:val="32"/>
        </w:rPr>
      </w:pPr>
      <w:r>
        <w:rPr>
          <w:rFonts w:hint="eastAsia"/>
          <w:sz w:val="32"/>
          <w:szCs w:val="32"/>
        </w:rPr>
        <w:t>详见附表。</w:t>
      </w:r>
    </w:p>
    <w:p>
      <w:pPr>
        <w:rPr>
          <w:sz w:val="32"/>
          <w:szCs w:val="32"/>
        </w:rPr>
      </w:pPr>
      <w:r>
        <w:rPr>
          <w:rFonts w:hint="eastAsia"/>
          <w:sz w:val="32"/>
          <w:szCs w:val="32"/>
          <w:lang w:val="zh-CN"/>
        </w:rPr>
        <w:t>三、</w:t>
      </w:r>
      <w:r>
        <w:rPr>
          <w:rFonts w:hint="eastAsia"/>
          <w:sz w:val="32"/>
          <w:szCs w:val="32"/>
        </w:rPr>
        <w:t>2020年度部门（单位）决算情况说明</w:t>
      </w:r>
    </w:p>
    <w:p>
      <w:pPr>
        <w:ind w:firstLine="640" w:firstLineChars="200"/>
        <w:rPr>
          <w:sz w:val="32"/>
          <w:szCs w:val="32"/>
        </w:rPr>
      </w:pPr>
      <w:r>
        <w:rPr>
          <w:rFonts w:hint="eastAsia"/>
          <w:sz w:val="32"/>
          <w:szCs w:val="32"/>
        </w:rPr>
        <w:t>（一）收入支出决算总体情况说明</w:t>
      </w:r>
    </w:p>
    <w:p>
      <w:pPr>
        <w:ind w:firstLine="640" w:firstLineChars="200"/>
        <w:rPr>
          <w:sz w:val="32"/>
          <w:szCs w:val="32"/>
        </w:rPr>
      </w:pPr>
      <w:r>
        <w:rPr>
          <w:rFonts w:hint="eastAsia"/>
          <w:sz w:val="32"/>
          <w:szCs w:val="32"/>
        </w:rPr>
        <w:t>2020年度收入总计1,785.67万元，支出总计1,785.67万元,与2019年度相比，各增加85.16万元，增长5.01%。主要原因是：年终考核奖追加及新进人员工资追加，人才管理服务处资金并入局本级。</w:t>
      </w:r>
    </w:p>
    <w:p>
      <w:pPr>
        <w:ind w:firstLine="640" w:firstLineChars="200"/>
        <w:rPr>
          <w:sz w:val="32"/>
          <w:szCs w:val="32"/>
        </w:rPr>
      </w:pPr>
      <w:r>
        <w:rPr>
          <w:rFonts w:hint="eastAsia"/>
          <w:sz w:val="32"/>
          <w:szCs w:val="32"/>
        </w:rPr>
        <w:t>（二）收入决算情况说明</w:t>
      </w:r>
    </w:p>
    <w:p>
      <w:pPr>
        <w:ind w:firstLine="640" w:firstLineChars="200"/>
        <w:rPr>
          <w:sz w:val="32"/>
          <w:szCs w:val="32"/>
        </w:rPr>
      </w:pPr>
      <w:r>
        <w:rPr>
          <w:rFonts w:hint="eastAsia"/>
          <w:sz w:val="32"/>
          <w:szCs w:val="32"/>
        </w:rPr>
        <w:t>本年收入合计1,703.19万元；包括财政拨款收入1,701.55万元（其中，一般公共预算1,701.55万元，政府性基金预算0万元,国有资本经营预算0万元），占收入合计99.9%；上级补助收入0万元，占收入合计0%；事业收入0万元，占收入合计0%；经营收入0万元，占收入合计0%；附属单位上缴收入0万元，占收入合计0%；其他收入1.64万元，占收入合计0.1%。</w:t>
      </w:r>
    </w:p>
    <w:p>
      <w:pPr>
        <w:ind w:firstLine="640" w:firstLineChars="200"/>
        <w:rPr>
          <w:sz w:val="32"/>
          <w:szCs w:val="32"/>
        </w:rPr>
      </w:pPr>
      <w:r>
        <w:rPr>
          <w:rFonts w:hint="eastAsia"/>
          <w:sz w:val="32"/>
          <w:szCs w:val="32"/>
        </w:rPr>
        <w:t>（三）支出决算情况说明</w:t>
      </w:r>
    </w:p>
    <w:p>
      <w:pPr>
        <w:ind w:firstLine="640" w:firstLineChars="200"/>
        <w:rPr>
          <w:sz w:val="32"/>
          <w:szCs w:val="32"/>
        </w:rPr>
      </w:pPr>
      <w:r>
        <w:rPr>
          <w:rFonts w:hint="eastAsia"/>
          <w:sz w:val="32"/>
          <w:szCs w:val="32"/>
        </w:rPr>
        <w:t>本年支出合计1,710.99万元，其中基本支出1,061.57万元，占62.04%；项目支出649.42万元，占37.96%；上缴上级支出</w:t>
      </w:r>
      <w:r>
        <w:rPr>
          <w:rFonts w:hint="eastAsia"/>
          <w:sz w:val="32"/>
          <w:szCs w:val="32"/>
          <w:lang w:val="zh-CN"/>
        </w:rPr>
        <w:t>0</w:t>
      </w:r>
      <w:r>
        <w:rPr>
          <w:rFonts w:hint="eastAsia"/>
          <w:sz w:val="32"/>
          <w:szCs w:val="32"/>
        </w:rPr>
        <w:t>万元，占0%；经营支出0万元，占0%；对附属单位补助支出</w:t>
      </w:r>
      <w:r>
        <w:rPr>
          <w:rFonts w:hint="eastAsia"/>
          <w:sz w:val="32"/>
          <w:szCs w:val="32"/>
          <w:lang w:val="zh-CN"/>
        </w:rPr>
        <w:t>0</w:t>
      </w:r>
      <w:r>
        <w:rPr>
          <w:rFonts w:hint="eastAsia"/>
          <w:sz w:val="32"/>
          <w:szCs w:val="32"/>
        </w:rPr>
        <w:t>万元，占0%。</w:t>
      </w:r>
    </w:p>
    <w:p>
      <w:pPr>
        <w:ind w:firstLine="640" w:firstLineChars="200"/>
        <w:rPr>
          <w:sz w:val="32"/>
          <w:szCs w:val="32"/>
        </w:rPr>
      </w:pPr>
      <w:r>
        <w:rPr>
          <w:rFonts w:hint="eastAsia"/>
          <w:sz w:val="32"/>
          <w:szCs w:val="32"/>
        </w:rPr>
        <w:t>（四）财政拨款收入支出决算总体情况说明</w:t>
      </w:r>
    </w:p>
    <w:p>
      <w:pPr>
        <w:ind w:firstLine="640" w:firstLineChars="200"/>
        <w:rPr>
          <w:sz w:val="32"/>
          <w:szCs w:val="32"/>
        </w:rPr>
      </w:pPr>
      <w:r>
        <w:rPr>
          <w:rFonts w:hint="eastAsia"/>
          <w:sz w:val="32"/>
          <w:szCs w:val="32"/>
        </w:rPr>
        <w:t>2020年度财政拨款收入总计1,701.55万元，支出总计1,701.55万元，与2019年相比，各增加156.49万元，增长10.13%。主要原因是年终考核奖追加及新进人员工资追加，人才管理服务处资金并入局本级；财政拨款支出年初预算数1238.56万元，完成年初预算的137.38%，主要原因是年终考核奖追加及新进人员工资追加，人才管理服务处资金并入局本级，农民工工资保险保证金支出追加等。</w:t>
      </w:r>
    </w:p>
    <w:p>
      <w:pPr>
        <w:ind w:firstLine="640" w:firstLineChars="200"/>
        <w:rPr>
          <w:sz w:val="32"/>
          <w:szCs w:val="32"/>
        </w:rPr>
      </w:pPr>
      <w:r>
        <w:rPr>
          <w:rFonts w:hint="eastAsia"/>
          <w:sz w:val="32"/>
          <w:szCs w:val="32"/>
        </w:rPr>
        <w:t>（五）一般公共预算财政拨款支出决算情况说明</w:t>
      </w:r>
    </w:p>
    <w:p>
      <w:pPr>
        <w:ind w:firstLine="640" w:firstLineChars="200"/>
        <w:rPr>
          <w:sz w:val="32"/>
          <w:szCs w:val="32"/>
        </w:rPr>
      </w:pPr>
      <w:r>
        <w:rPr>
          <w:rFonts w:hint="eastAsia"/>
          <w:sz w:val="32"/>
          <w:szCs w:val="32"/>
        </w:rPr>
        <w:t>1.一般公共预算财政拨款支出决算总体情况。</w:t>
      </w:r>
    </w:p>
    <w:p>
      <w:pPr>
        <w:ind w:firstLine="640" w:firstLineChars="200"/>
        <w:rPr>
          <w:sz w:val="32"/>
          <w:szCs w:val="32"/>
        </w:rPr>
      </w:pPr>
      <w:r>
        <w:rPr>
          <w:rFonts w:hint="eastAsia"/>
          <w:sz w:val="32"/>
          <w:szCs w:val="32"/>
        </w:rPr>
        <w:t>2020年度一般公共预算财政拨款支出1,701.55万元，占本年支出合计的99.45%。与2019年相比，一般公共预算财政拨款支出增加156.49万元，增长10.13%。主要原因是：年终考核奖追加及新进人员工资追加，人才管理服务处资金并入局本级。</w:t>
      </w:r>
    </w:p>
    <w:p>
      <w:pPr>
        <w:ind w:firstLine="640" w:firstLineChars="200"/>
        <w:rPr>
          <w:sz w:val="32"/>
          <w:szCs w:val="32"/>
        </w:rPr>
      </w:pPr>
      <w:r>
        <w:rPr>
          <w:rFonts w:hint="eastAsia"/>
          <w:sz w:val="32"/>
          <w:szCs w:val="32"/>
        </w:rPr>
        <w:t>2.一般公共预算财政拨款支出决算结构情况。</w:t>
      </w:r>
    </w:p>
    <w:p>
      <w:pPr>
        <w:ind w:firstLine="640" w:firstLineChars="200"/>
        <w:rPr>
          <w:sz w:val="32"/>
          <w:szCs w:val="32"/>
        </w:rPr>
      </w:pPr>
      <w:r>
        <w:rPr>
          <w:rFonts w:hint="eastAsia"/>
          <w:sz w:val="32"/>
          <w:szCs w:val="32"/>
        </w:rPr>
        <w:t>2020年度一般公共预算财政拨款支出1,701.55万元，主要用于以下方面：一般公共服务（类）支出</w:t>
      </w:r>
      <w:r>
        <w:rPr>
          <w:rFonts w:hint="eastAsia"/>
          <w:sz w:val="32"/>
          <w:szCs w:val="32"/>
          <w:lang w:val="zh-CN"/>
        </w:rPr>
        <w:t>1,428.41</w:t>
      </w:r>
      <w:r>
        <w:rPr>
          <w:rFonts w:hint="eastAsia"/>
          <w:sz w:val="32"/>
          <w:szCs w:val="32"/>
        </w:rPr>
        <w:t>万元，占83.95%；国防（类）支出</w:t>
      </w:r>
      <w:r>
        <w:rPr>
          <w:rFonts w:hint="eastAsia"/>
          <w:sz w:val="32"/>
          <w:szCs w:val="32"/>
          <w:lang w:val="zh-CN"/>
        </w:rPr>
        <w:t>0</w:t>
      </w:r>
      <w:r>
        <w:rPr>
          <w:rFonts w:hint="eastAsia"/>
          <w:sz w:val="32"/>
          <w:szCs w:val="32"/>
        </w:rPr>
        <w:t>万元,占0%；公共安全（类）支出</w:t>
      </w:r>
      <w:r>
        <w:rPr>
          <w:rFonts w:hint="eastAsia"/>
          <w:sz w:val="32"/>
          <w:szCs w:val="32"/>
          <w:lang w:val="zh-CN"/>
        </w:rPr>
        <w:t>0</w:t>
      </w:r>
      <w:r>
        <w:rPr>
          <w:rFonts w:hint="eastAsia"/>
          <w:sz w:val="32"/>
          <w:szCs w:val="32"/>
        </w:rPr>
        <w:t>万元,占0%；教育（类）支出</w:t>
      </w:r>
      <w:r>
        <w:rPr>
          <w:rFonts w:hint="eastAsia"/>
          <w:sz w:val="32"/>
          <w:szCs w:val="32"/>
          <w:lang w:val="zh-CN"/>
        </w:rPr>
        <w:t>0</w:t>
      </w:r>
      <w:r>
        <w:rPr>
          <w:rFonts w:hint="eastAsia"/>
          <w:sz w:val="32"/>
          <w:szCs w:val="32"/>
        </w:rPr>
        <w:t>万元,占0%；科学技术（类）支出</w:t>
      </w:r>
      <w:r>
        <w:rPr>
          <w:rFonts w:hint="eastAsia"/>
          <w:sz w:val="32"/>
          <w:szCs w:val="32"/>
          <w:lang w:val="zh-CN"/>
        </w:rPr>
        <w:t>0</w:t>
      </w:r>
      <w:r>
        <w:rPr>
          <w:rFonts w:hint="eastAsia"/>
          <w:sz w:val="32"/>
          <w:szCs w:val="32"/>
        </w:rPr>
        <w:t>万元,占0%；文化旅游体育与传媒（类）支出</w:t>
      </w:r>
      <w:r>
        <w:rPr>
          <w:rFonts w:hint="eastAsia"/>
          <w:sz w:val="32"/>
          <w:szCs w:val="32"/>
          <w:lang w:val="zh-CN"/>
        </w:rPr>
        <w:t>0</w:t>
      </w:r>
      <w:r>
        <w:rPr>
          <w:rFonts w:hint="eastAsia"/>
          <w:sz w:val="32"/>
          <w:szCs w:val="32"/>
        </w:rPr>
        <w:t>万元,占0%；社会保障和就业（类）支出</w:t>
      </w:r>
      <w:r>
        <w:rPr>
          <w:rFonts w:hint="eastAsia"/>
          <w:sz w:val="32"/>
          <w:szCs w:val="32"/>
          <w:lang w:val="zh-CN"/>
        </w:rPr>
        <w:t>184.19</w:t>
      </w:r>
      <w:r>
        <w:rPr>
          <w:rFonts w:hint="eastAsia"/>
          <w:sz w:val="32"/>
          <w:szCs w:val="32"/>
        </w:rPr>
        <w:t>万元,占10.83%；卫生健康（类）支出</w:t>
      </w:r>
      <w:r>
        <w:rPr>
          <w:rFonts w:hint="eastAsia"/>
          <w:sz w:val="32"/>
          <w:szCs w:val="32"/>
          <w:lang w:val="zh-CN"/>
        </w:rPr>
        <w:t>26.29</w:t>
      </w:r>
      <w:r>
        <w:rPr>
          <w:rFonts w:hint="eastAsia"/>
          <w:sz w:val="32"/>
          <w:szCs w:val="32"/>
        </w:rPr>
        <w:t>万元,占1.55%；节能环保（类）支出</w:t>
      </w:r>
      <w:r>
        <w:rPr>
          <w:rFonts w:hint="eastAsia"/>
          <w:sz w:val="32"/>
          <w:szCs w:val="32"/>
          <w:lang w:val="zh-CN"/>
        </w:rPr>
        <w:t>0</w:t>
      </w:r>
      <w:r>
        <w:rPr>
          <w:rFonts w:hint="eastAsia"/>
          <w:sz w:val="32"/>
          <w:szCs w:val="32"/>
        </w:rPr>
        <w:t>万元,占0%；城乡社区（类）支出</w:t>
      </w:r>
      <w:r>
        <w:rPr>
          <w:rFonts w:hint="eastAsia"/>
          <w:sz w:val="32"/>
          <w:szCs w:val="32"/>
          <w:lang w:val="zh-CN"/>
        </w:rPr>
        <w:t>0</w:t>
      </w:r>
      <w:r>
        <w:rPr>
          <w:rFonts w:hint="eastAsia"/>
          <w:sz w:val="32"/>
          <w:szCs w:val="32"/>
        </w:rPr>
        <w:t>万元,占0%；农林水（类）支出</w:t>
      </w:r>
      <w:r>
        <w:rPr>
          <w:rFonts w:hint="eastAsia"/>
          <w:sz w:val="32"/>
          <w:szCs w:val="32"/>
          <w:lang w:val="zh-CN"/>
        </w:rPr>
        <w:t>0</w:t>
      </w:r>
      <w:r>
        <w:rPr>
          <w:rFonts w:hint="eastAsia"/>
          <w:sz w:val="32"/>
          <w:szCs w:val="32"/>
        </w:rPr>
        <w:t>万元,占0%；交通运输（类）支出</w:t>
      </w:r>
      <w:r>
        <w:rPr>
          <w:rFonts w:hint="eastAsia"/>
          <w:sz w:val="32"/>
          <w:szCs w:val="32"/>
          <w:lang w:val="zh-CN"/>
        </w:rPr>
        <w:t>0</w:t>
      </w:r>
      <w:r>
        <w:rPr>
          <w:rFonts w:hint="eastAsia"/>
          <w:sz w:val="32"/>
          <w:szCs w:val="32"/>
        </w:rPr>
        <w:t>万元,占0%；资源勘探工业信息等（类）支出</w:t>
      </w:r>
      <w:r>
        <w:rPr>
          <w:rFonts w:hint="eastAsia"/>
          <w:sz w:val="32"/>
          <w:szCs w:val="32"/>
          <w:lang w:val="zh-CN"/>
        </w:rPr>
        <w:t>0</w:t>
      </w:r>
      <w:r>
        <w:rPr>
          <w:rFonts w:hint="eastAsia"/>
          <w:sz w:val="32"/>
          <w:szCs w:val="32"/>
        </w:rPr>
        <w:t>万元,占0%；商业服务业等（类）支出</w:t>
      </w:r>
      <w:r>
        <w:rPr>
          <w:rFonts w:hint="eastAsia"/>
          <w:sz w:val="32"/>
          <w:szCs w:val="32"/>
          <w:lang w:val="zh-CN"/>
        </w:rPr>
        <w:t>0</w:t>
      </w:r>
      <w:r>
        <w:rPr>
          <w:rFonts w:hint="eastAsia"/>
          <w:sz w:val="32"/>
          <w:szCs w:val="32"/>
        </w:rPr>
        <w:t>万元,占0%；金融（类）支出</w:t>
      </w:r>
      <w:r>
        <w:rPr>
          <w:rFonts w:hint="eastAsia"/>
          <w:sz w:val="32"/>
          <w:szCs w:val="32"/>
          <w:lang w:val="zh-CN"/>
        </w:rPr>
        <w:t>0</w:t>
      </w:r>
      <w:r>
        <w:rPr>
          <w:rFonts w:hint="eastAsia"/>
          <w:sz w:val="32"/>
          <w:szCs w:val="32"/>
        </w:rPr>
        <w:t>万元,占0%；援助其他地区（类）支出</w:t>
      </w:r>
      <w:r>
        <w:rPr>
          <w:rFonts w:hint="eastAsia"/>
          <w:sz w:val="32"/>
          <w:szCs w:val="32"/>
          <w:lang w:val="zh-CN"/>
        </w:rPr>
        <w:t>0</w:t>
      </w:r>
      <w:r>
        <w:rPr>
          <w:rFonts w:hint="eastAsia"/>
          <w:sz w:val="32"/>
          <w:szCs w:val="32"/>
        </w:rPr>
        <w:t>万元,占0%；自然资源海洋气象等（类）支出</w:t>
      </w:r>
      <w:r>
        <w:rPr>
          <w:rFonts w:hint="eastAsia"/>
          <w:sz w:val="32"/>
          <w:szCs w:val="32"/>
          <w:lang w:val="zh-CN"/>
        </w:rPr>
        <w:t>0</w:t>
      </w:r>
      <w:r>
        <w:rPr>
          <w:rFonts w:hint="eastAsia"/>
          <w:sz w:val="32"/>
          <w:szCs w:val="32"/>
        </w:rPr>
        <w:t>万元,占0%；住房保障（类）支出</w:t>
      </w:r>
      <w:r>
        <w:rPr>
          <w:rFonts w:hint="eastAsia"/>
          <w:sz w:val="32"/>
          <w:szCs w:val="32"/>
          <w:lang w:val="zh-CN"/>
        </w:rPr>
        <w:t>62.66</w:t>
      </w:r>
      <w:r>
        <w:rPr>
          <w:rFonts w:hint="eastAsia"/>
          <w:sz w:val="32"/>
          <w:szCs w:val="32"/>
        </w:rPr>
        <w:t>万元,占3.68%；粮油物资储备（类）支出</w:t>
      </w:r>
      <w:r>
        <w:rPr>
          <w:rFonts w:hint="eastAsia"/>
          <w:sz w:val="32"/>
          <w:szCs w:val="32"/>
          <w:lang w:val="zh-CN"/>
        </w:rPr>
        <w:t>0</w:t>
      </w:r>
      <w:r>
        <w:rPr>
          <w:rFonts w:hint="eastAsia"/>
          <w:sz w:val="32"/>
          <w:szCs w:val="32"/>
        </w:rPr>
        <w:t>万元,占0%；灾害防治及应急管理（类）支出</w:t>
      </w:r>
      <w:r>
        <w:rPr>
          <w:rFonts w:hint="eastAsia"/>
          <w:sz w:val="32"/>
          <w:szCs w:val="32"/>
          <w:lang w:val="zh-CN"/>
        </w:rPr>
        <w:t>0</w:t>
      </w:r>
      <w:r>
        <w:rPr>
          <w:rFonts w:hint="eastAsia"/>
          <w:sz w:val="32"/>
          <w:szCs w:val="32"/>
        </w:rPr>
        <w:t>万元,占0%；其他（类）支出</w:t>
      </w:r>
      <w:r>
        <w:rPr>
          <w:rFonts w:hint="eastAsia"/>
          <w:sz w:val="32"/>
          <w:szCs w:val="32"/>
          <w:lang w:val="zh-CN"/>
        </w:rPr>
        <w:t>0</w:t>
      </w:r>
      <w:r>
        <w:rPr>
          <w:rFonts w:hint="eastAsia"/>
          <w:sz w:val="32"/>
          <w:szCs w:val="32"/>
        </w:rPr>
        <w:t>万元,占0%；债务还本（类）支出</w:t>
      </w:r>
      <w:r>
        <w:rPr>
          <w:rFonts w:hint="eastAsia"/>
          <w:sz w:val="32"/>
          <w:szCs w:val="32"/>
          <w:lang w:val="zh-CN"/>
        </w:rPr>
        <w:t>0</w:t>
      </w:r>
      <w:r>
        <w:rPr>
          <w:rFonts w:hint="eastAsia"/>
          <w:sz w:val="32"/>
          <w:szCs w:val="32"/>
        </w:rPr>
        <w:t>万元,占0%；债务付息（类）支出</w:t>
      </w:r>
      <w:r>
        <w:rPr>
          <w:rFonts w:hint="eastAsia"/>
          <w:sz w:val="32"/>
          <w:szCs w:val="32"/>
          <w:lang w:val="zh-CN"/>
        </w:rPr>
        <w:t>0</w:t>
      </w:r>
      <w:r>
        <w:rPr>
          <w:rFonts w:hint="eastAsia"/>
          <w:sz w:val="32"/>
          <w:szCs w:val="32"/>
        </w:rPr>
        <w:t>万元,占0%。</w:t>
      </w:r>
    </w:p>
    <w:p>
      <w:pPr>
        <w:ind w:firstLine="640" w:firstLineChars="200"/>
        <w:rPr>
          <w:sz w:val="32"/>
          <w:szCs w:val="32"/>
        </w:rPr>
      </w:pPr>
      <w:r>
        <w:rPr>
          <w:rFonts w:hint="eastAsia"/>
          <w:sz w:val="32"/>
          <w:szCs w:val="32"/>
        </w:rPr>
        <w:t>3.一般公共预算财政拨款支出决算具体情况。</w:t>
      </w:r>
    </w:p>
    <w:p>
      <w:pPr>
        <w:ind w:firstLine="640" w:firstLineChars="200"/>
        <w:rPr>
          <w:sz w:val="32"/>
          <w:szCs w:val="32"/>
        </w:rPr>
      </w:pPr>
      <w:r>
        <w:rPr>
          <w:rFonts w:hint="eastAsia"/>
          <w:sz w:val="32"/>
          <w:szCs w:val="32"/>
        </w:rPr>
        <w:t>2020年度一般公共预算财政拨款支出年初预算为1238.56万元，支出决算为1,701.55万元,完成年初预算的137.38%，主要原因是年终考核奖追加及新进人员工资追加，人才管理服务处资金并入局本级，农民工工资保险保证金支出追加等。</w:t>
      </w:r>
    </w:p>
    <w:p>
      <w:pPr>
        <w:ind w:firstLine="640" w:firstLineChars="200"/>
        <w:rPr>
          <w:sz w:val="32"/>
          <w:szCs w:val="32"/>
        </w:rPr>
      </w:pPr>
      <w:r>
        <w:rPr>
          <w:rFonts w:hint="eastAsia"/>
          <w:sz w:val="32"/>
          <w:szCs w:val="32"/>
        </w:rPr>
        <w:t>其中：</w:t>
      </w:r>
    </w:p>
    <w:p>
      <w:pPr>
        <w:ind w:firstLine="640" w:firstLineChars="200"/>
        <w:rPr>
          <w:sz w:val="32"/>
          <w:szCs w:val="32"/>
        </w:rPr>
      </w:pPr>
      <w:r>
        <w:rPr>
          <w:rFonts w:hint="eastAsia"/>
          <w:sz w:val="32"/>
          <w:szCs w:val="32"/>
        </w:rPr>
        <w:t>一般公共服务支出（类）人力资源事务（款）行政运行（项）。年初预算为452.81万元，支出决算为497.82万元，完成年初预算的109.94%，决算数大于预算数的主要原因行政人员年终综合考核奖追加。</w:t>
      </w:r>
    </w:p>
    <w:p>
      <w:pPr>
        <w:ind w:firstLine="640" w:firstLineChars="200"/>
        <w:rPr>
          <w:sz w:val="32"/>
          <w:szCs w:val="32"/>
        </w:rPr>
      </w:pPr>
      <w:r>
        <w:rPr>
          <w:rFonts w:hint="eastAsia"/>
          <w:sz w:val="32"/>
          <w:szCs w:val="32"/>
        </w:rPr>
        <w:t>一般公共服务支出（类）人力资源事务（款）一般行政管理事务（项）。年初预算为291.59万元，支出决算为326.81万元，完成年初预算的112.08%，决算数大于预算数的主要原因农民工工资保险保证金追加。</w:t>
      </w:r>
    </w:p>
    <w:p>
      <w:pPr>
        <w:ind w:firstLine="640" w:firstLineChars="200"/>
        <w:rPr>
          <w:sz w:val="32"/>
          <w:szCs w:val="32"/>
        </w:rPr>
      </w:pPr>
      <w:r>
        <w:rPr>
          <w:rFonts w:hint="eastAsia"/>
          <w:sz w:val="32"/>
          <w:szCs w:val="32"/>
        </w:rPr>
        <w:t>一般公共服务支出（类）人力资源事务（款）引进人才费用（项）。年初预算为307.45万元，支出决算为247.15万元，完成年初预算的80.38%，决算数小于预算数的主要原因疫情期间，外出引才被限制。</w:t>
      </w:r>
    </w:p>
    <w:p>
      <w:pPr>
        <w:ind w:firstLine="640" w:firstLineChars="200"/>
        <w:rPr>
          <w:sz w:val="32"/>
          <w:szCs w:val="32"/>
        </w:rPr>
      </w:pPr>
      <w:r>
        <w:rPr>
          <w:rFonts w:hint="eastAsia"/>
          <w:sz w:val="32"/>
          <w:szCs w:val="32"/>
        </w:rPr>
        <w:t>一般公共服务支出（类）人力资源事务（款）事业运行（项）。年初预算为250.8万元，支出决算为351万元，完成年初预算的139.95%，决算数大于预算数的主要原因事业人员新进追加人员经费及事业人员年终综合考核奖追加。</w:t>
      </w:r>
    </w:p>
    <w:p>
      <w:pPr>
        <w:ind w:firstLine="640" w:firstLineChars="200"/>
        <w:rPr>
          <w:sz w:val="32"/>
          <w:szCs w:val="32"/>
        </w:rPr>
      </w:pPr>
      <w:r>
        <w:rPr>
          <w:rFonts w:hint="eastAsia"/>
          <w:sz w:val="32"/>
          <w:szCs w:val="32"/>
        </w:rPr>
        <w:t>一般公共服务支出（类）人力资源事务（款）其他人</w:t>
      </w:r>
    </w:p>
    <w:p>
      <w:pPr>
        <w:rPr>
          <w:sz w:val="32"/>
          <w:szCs w:val="32"/>
        </w:rPr>
      </w:pPr>
      <w:r>
        <w:rPr>
          <w:rFonts w:hint="eastAsia"/>
          <w:sz w:val="32"/>
          <w:szCs w:val="32"/>
        </w:rPr>
        <w:t>力资源事务支出（项）。年初预算为5万元，支出决算为5.63万元，完成年初预算的112.6%，决算数大于预算数的主要原因编外人员年终奖有所调整。</w:t>
      </w:r>
    </w:p>
    <w:p>
      <w:pPr>
        <w:ind w:firstLine="640" w:firstLineChars="200"/>
        <w:rPr>
          <w:sz w:val="32"/>
          <w:szCs w:val="32"/>
        </w:rPr>
      </w:pPr>
      <w:r>
        <w:rPr>
          <w:rFonts w:hint="eastAsia"/>
          <w:sz w:val="32"/>
          <w:szCs w:val="32"/>
        </w:rPr>
        <w:t>社会保障和就业支出（类）人力资源和社会保障管理事务（款）社会保险业务管理事务（项）。年初预算为0万元，支出决算为51.14万元，完成年初预算的100%，决算数大于预算数的主要原因为该项目为年终追加项目，农民工工资保险保证金。</w:t>
      </w:r>
    </w:p>
    <w:p>
      <w:pPr>
        <w:ind w:firstLine="640" w:firstLineChars="200"/>
        <w:rPr>
          <w:sz w:val="32"/>
          <w:szCs w:val="32"/>
          <w:highlight w:val="none"/>
        </w:rPr>
      </w:pPr>
      <w:r>
        <w:rPr>
          <w:rFonts w:hint="eastAsia"/>
          <w:sz w:val="32"/>
          <w:szCs w:val="32"/>
          <w:highlight w:val="none"/>
        </w:rPr>
        <w:t>社会保障和就业支出（类）人力资源和社会保障管理事务（款）其他人力资源和社会保障管理事务支出（项）。年初预算为27.55万元，支出决算为20.78万元，完成年初预算的75.43%，决算数小于预算数的主要原因无欠薪项目里原来安排的设备采购未采购，导致资金有节余。</w:t>
      </w:r>
    </w:p>
    <w:p>
      <w:pPr>
        <w:ind w:firstLine="640" w:firstLineChars="200"/>
        <w:rPr>
          <w:rFonts w:hint="eastAsia"/>
          <w:sz w:val="32"/>
          <w:szCs w:val="32"/>
          <w:highlight w:val="none"/>
        </w:rPr>
      </w:pPr>
      <w:r>
        <w:rPr>
          <w:rFonts w:hint="eastAsia"/>
          <w:sz w:val="32"/>
          <w:szCs w:val="32"/>
          <w:highlight w:val="none"/>
        </w:rPr>
        <w:t>社会保障和就业支出（类）行政事业单位养老支出（款）行政单位离退休（项）。年初预算为41.92万元，支出决算为31.69万元，完成年初预算的75.6%，决算数小于预算数的主要原因离退休人员经费调整至工资。</w:t>
      </w:r>
    </w:p>
    <w:p>
      <w:pPr>
        <w:ind w:firstLine="640" w:firstLineChars="200"/>
        <w:rPr>
          <w:rFonts w:hint="eastAsia"/>
          <w:sz w:val="32"/>
          <w:szCs w:val="32"/>
          <w:highlight w:val="none"/>
        </w:rPr>
      </w:pPr>
      <w:r>
        <w:rPr>
          <w:rFonts w:hint="eastAsia"/>
          <w:sz w:val="32"/>
          <w:szCs w:val="32"/>
          <w:highlight w:val="none"/>
        </w:rPr>
        <w:t>社会保障和就业支出（类）行政事业单位养老支出</w:t>
      </w:r>
      <w:bookmarkStart w:id="0" w:name="_GoBack"/>
      <w:bookmarkEnd w:id="0"/>
      <w:r>
        <w:rPr>
          <w:rFonts w:hint="eastAsia"/>
          <w:sz w:val="32"/>
          <w:szCs w:val="32"/>
          <w:highlight w:val="none"/>
        </w:rPr>
        <w:t>（款）机关事业单位基本养老保险缴费支出（项）。年初预算为52.18万元，支出决算为53.73万元，完成年初预算的102.97%，决算数大于预算数的主要原因人员有增加。</w:t>
      </w:r>
    </w:p>
    <w:p>
      <w:pPr>
        <w:ind w:firstLine="640"/>
        <w:rPr>
          <w:sz w:val="32"/>
          <w:szCs w:val="32"/>
        </w:rPr>
      </w:pPr>
      <w:r>
        <w:rPr>
          <w:rFonts w:hint="eastAsia"/>
          <w:sz w:val="32"/>
          <w:szCs w:val="32"/>
          <w:highlight w:val="none"/>
        </w:rPr>
        <w:t>社会保障和就业支出（类）行政事业单位养老支出（款）机关事业</w:t>
      </w:r>
      <w:r>
        <w:rPr>
          <w:rFonts w:hint="eastAsia"/>
          <w:sz w:val="32"/>
          <w:szCs w:val="32"/>
        </w:rPr>
        <w:t>单位职业年金缴费支出（项）。年初预算为25.08万元，支出决算为26.87万元，完成年初预算的107.14%，决算数大于预算数的主要原因养老保险经费调整至职业年金。</w:t>
      </w:r>
    </w:p>
    <w:p>
      <w:pPr>
        <w:ind w:firstLine="640"/>
        <w:rPr>
          <w:sz w:val="32"/>
          <w:szCs w:val="32"/>
        </w:rPr>
      </w:pPr>
      <w:r>
        <w:rPr>
          <w:rFonts w:hint="eastAsia"/>
          <w:sz w:val="32"/>
          <w:szCs w:val="32"/>
        </w:rPr>
        <w:t>卫生健康支出（类）行政事业单位医疗（款）行政单位医疗（项）。年初预算为22.66万元，支出决算为26.29万元，完成年初预算的116.02%，决算数大于预算数的主要原因养老保险经费调整至医疗。</w:t>
      </w:r>
    </w:p>
    <w:p>
      <w:pPr>
        <w:ind w:firstLine="640"/>
        <w:rPr>
          <w:sz w:val="32"/>
          <w:szCs w:val="32"/>
        </w:rPr>
      </w:pPr>
      <w:r>
        <w:rPr>
          <w:rFonts w:hint="eastAsia"/>
          <w:sz w:val="32"/>
          <w:szCs w:val="32"/>
        </w:rPr>
        <w:t>住房保障支出（类）住房改革支出（款）住房公积金（项）。年初预算为66.77万元，支出决算为62.66万元，完成年初预算的93.84%，决算数小于预算数的主要原因住房公积金资金调整至工资。</w:t>
      </w:r>
    </w:p>
    <w:p>
      <w:pPr>
        <w:ind w:firstLine="640" w:firstLineChars="200"/>
        <w:rPr>
          <w:sz w:val="32"/>
          <w:szCs w:val="32"/>
        </w:rPr>
      </w:pPr>
      <w:r>
        <w:rPr>
          <w:rFonts w:hint="eastAsia"/>
          <w:sz w:val="32"/>
          <w:szCs w:val="32"/>
        </w:rPr>
        <w:t>（六）一般公共预算财政拨款基本支出决算情况说明</w:t>
      </w:r>
    </w:p>
    <w:p>
      <w:pPr>
        <w:ind w:firstLine="640" w:firstLineChars="200"/>
        <w:rPr>
          <w:sz w:val="32"/>
          <w:szCs w:val="32"/>
        </w:rPr>
      </w:pPr>
      <w:r>
        <w:rPr>
          <w:rFonts w:hint="eastAsia"/>
          <w:sz w:val="32"/>
          <w:szCs w:val="32"/>
        </w:rPr>
        <w:t>2020年度一般公共预算财政拨款基本支出1,055.68万元，其中：</w:t>
      </w:r>
    </w:p>
    <w:p>
      <w:pPr>
        <w:ind w:firstLine="640" w:firstLineChars="200"/>
        <w:rPr>
          <w:sz w:val="32"/>
          <w:szCs w:val="32"/>
        </w:rPr>
      </w:pPr>
      <w:r>
        <w:rPr>
          <w:rFonts w:hint="eastAsia"/>
          <w:sz w:val="32"/>
          <w:szCs w:val="32"/>
        </w:rPr>
        <w:t>人员经费966.04万元，主要包括：</w:t>
      </w:r>
      <w:r>
        <w:rPr>
          <w:rFonts w:hint="eastAsia" w:ascii="宋体" w:hAnsi="宋体"/>
          <w:sz w:val="32"/>
          <w:szCs w:val="32"/>
        </w:rPr>
        <w:t>基本工资、津贴补贴、奖金、伙食补助费、绩效工资、机关事业单位基本养老保险缴费、职业年金缴费、职工基本医疗保险缴费、公务员医疗补助缴费、其他社会保险缴费、住房公积金、其他工资福利支出、医疗费补助、其他对个人和家庭的补助支出</w:t>
      </w:r>
      <w:r>
        <w:rPr>
          <w:rFonts w:hint="eastAsia"/>
          <w:sz w:val="32"/>
          <w:szCs w:val="32"/>
        </w:rPr>
        <w:t>。</w:t>
      </w:r>
    </w:p>
    <w:p>
      <w:pPr>
        <w:spacing w:line="360" w:lineRule="auto"/>
        <w:ind w:firstLine="640" w:firstLineChars="200"/>
        <w:rPr>
          <w:rFonts w:ascii="宋体" w:hAnsi="宋体"/>
          <w:sz w:val="32"/>
          <w:szCs w:val="32"/>
        </w:rPr>
      </w:pPr>
      <w:r>
        <w:rPr>
          <w:rFonts w:hint="eastAsia"/>
          <w:sz w:val="32"/>
          <w:szCs w:val="32"/>
        </w:rPr>
        <w:t>公用经费89.64万元，主要包括：</w:t>
      </w:r>
      <w:r>
        <w:rPr>
          <w:rFonts w:hint="eastAsia" w:ascii="宋体" w:hAnsi="宋体"/>
          <w:sz w:val="32"/>
          <w:szCs w:val="32"/>
        </w:rPr>
        <w:t>办公费、水费、电费、邮电费、差旅费、维修维护费、会议费、公务接待费、劳务费、工会经费、福利费、其他交通费用、其他商品服务支出、办公设备购置。</w:t>
      </w:r>
    </w:p>
    <w:p>
      <w:pPr>
        <w:ind w:firstLine="640" w:firstLineChars="200"/>
        <w:rPr>
          <w:rFonts w:hint="eastAsia"/>
          <w:sz w:val="32"/>
          <w:szCs w:val="32"/>
        </w:rPr>
      </w:pPr>
      <w:r>
        <w:rPr>
          <w:rFonts w:hint="eastAsia"/>
          <w:sz w:val="32"/>
          <w:szCs w:val="32"/>
        </w:rPr>
        <w:t>（七）政府性基金预算财政拨款支出</w:t>
      </w:r>
      <w:r>
        <w:rPr>
          <w:rFonts w:hint="eastAsia"/>
          <w:sz w:val="32"/>
          <w:szCs w:val="32"/>
          <w:lang w:val="zh-CN"/>
        </w:rPr>
        <w:t>决算</w:t>
      </w:r>
      <w:r>
        <w:rPr>
          <w:rFonts w:hint="eastAsia"/>
          <w:sz w:val="32"/>
          <w:szCs w:val="32"/>
        </w:rPr>
        <w:t>总体情况说明</w:t>
      </w:r>
    </w:p>
    <w:p>
      <w:pPr>
        <w:ind w:firstLine="640" w:firstLineChars="200"/>
        <w:rPr>
          <w:sz w:val="32"/>
          <w:szCs w:val="32"/>
        </w:rPr>
      </w:pPr>
      <w:r>
        <w:rPr>
          <w:rFonts w:hint="eastAsia"/>
          <w:sz w:val="32"/>
          <w:szCs w:val="32"/>
        </w:rPr>
        <w:t>本单位2020年度无政府性基金预算财政拨款收支安排，故无相关数据。</w:t>
      </w:r>
    </w:p>
    <w:p>
      <w:pPr>
        <w:ind w:firstLine="640" w:firstLineChars="200"/>
        <w:rPr>
          <w:sz w:val="32"/>
          <w:szCs w:val="32"/>
        </w:rPr>
      </w:pPr>
      <w:r>
        <w:rPr>
          <w:rFonts w:hint="eastAsia"/>
          <w:sz w:val="32"/>
          <w:szCs w:val="32"/>
        </w:rPr>
        <w:t>（八）国有资本经营预算财政拨款支出</w:t>
      </w:r>
      <w:r>
        <w:rPr>
          <w:rFonts w:hint="eastAsia"/>
          <w:sz w:val="32"/>
          <w:szCs w:val="32"/>
          <w:lang w:val="zh-CN"/>
        </w:rPr>
        <w:t>决算</w:t>
      </w:r>
      <w:r>
        <w:rPr>
          <w:rFonts w:hint="eastAsia"/>
          <w:sz w:val="32"/>
          <w:szCs w:val="32"/>
        </w:rPr>
        <w:t>总体情况说明</w:t>
      </w:r>
    </w:p>
    <w:p>
      <w:pPr>
        <w:ind w:firstLine="640" w:firstLineChars="200"/>
        <w:rPr>
          <w:sz w:val="32"/>
          <w:szCs w:val="32"/>
        </w:rPr>
      </w:pPr>
      <w:r>
        <w:rPr>
          <w:rFonts w:hint="eastAsia"/>
          <w:sz w:val="32"/>
          <w:szCs w:val="32"/>
        </w:rPr>
        <w:t>本部门（单位）2020年度无国有资本经营预算财政拨款收支安排，故无相关数据。</w:t>
      </w:r>
    </w:p>
    <w:p>
      <w:pPr>
        <w:ind w:firstLine="640" w:firstLineChars="200"/>
        <w:rPr>
          <w:sz w:val="32"/>
          <w:szCs w:val="32"/>
        </w:rPr>
      </w:pPr>
      <w:r>
        <w:rPr>
          <w:rFonts w:hint="eastAsia"/>
          <w:sz w:val="32"/>
          <w:szCs w:val="32"/>
        </w:rPr>
        <w:t>（九）一般公共预算财政拨款</w:t>
      </w:r>
      <w:r>
        <w:rPr>
          <w:sz w:val="32"/>
          <w:szCs w:val="32"/>
        </w:rPr>
        <w:t>“</w:t>
      </w:r>
      <w:r>
        <w:rPr>
          <w:rFonts w:hint="eastAsia"/>
          <w:sz w:val="32"/>
          <w:szCs w:val="32"/>
        </w:rPr>
        <w:t>三公</w:t>
      </w:r>
      <w:r>
        <w:rPr>
          <w:sz w:val="32"/>
          <w:szCs w:val="32"/>
        </w:rPr>
        <w:t>”</w:t>
      </w:r>
      <w:r>
        <w:rPr>
          <w:rFonts w:hint="eastAsia"/>
          <w:sz w:val="32"/>
          <w:szCs w:val="32"/>
        </w:rPr>
        <w:t>经费支出决算情况说明</w:t>
      </w:r>
    </w:p>
    <w:p>
      <w:pPr>
        <w:ind w:firstLine="640" w:firstLineChars="200"/>
        <w:rPr>
          <w:sz w:val="32"/>
          <w:szCs w:val="32"/>
        </w:rPr>
      </w:pPr>
      <w:r>
        <w:rPr>
          <w:rFonts w:hint="eastAsia"/>
          <w:sz w:val="32"/>
          <w:szCs w:val="32"/>
        </w:rPr>
        <w:t>1.</w:t>
      </w:r>
      <w:r>
        <w:rPr>
          <w:sz w:val="32"/>
          <w:szCs w:val="32"/>
        </w:rPr>
        <w:t>“</w:t>
      </w:r>
      <w:r>
        <w:rPr>
          <w:rFonts w:hint="eastAsia"/>
          <w:sz w:val="32"/>
          <w:szCs w:val="32"/>
        </w:rPr>
        <w:t>三公</w:t>
      </w:r>
      <w:r>
        <w:rPr>
          <w:sz w:val="32"/>
          <w:szCs w:val="32"/>
        </w:rPr>
        <w:t>”</w:t>
      </w:r>
      <w:r>
        <w:rPr>
          <w:rFonts w:hint="eastAsia"/>
          <w:sz w:val="32"/>
          <w:szCs w:val="32"/>
        </w:rPr>
        <w:t xml:space="preserve">经费一般公共预算财政拨款支出决算总体情况说明。 </w:t>
      </w:r>
    </w:p>
    <w:p>
      <w:pPr>
        <w:ind w:firstLine="640" w:firstLineChars="200"/>
        <w:rPr>
          <w:sz w:val="32"/>
          <w:szCs w:val="32"/>
        </w:rPr>
      </w:pPr>
      <w:r>
        <w:rPr>
          <w:rFonts w:hint="eastAsia"/>
          <w:sz w:val="32"/>
          <w:szCs w:val="32"/>
        </w:rPr>
        <w:t>2020年度</w:t>
      </w:r>
      <w:r>
        <w:rPr>
          <w:sz w:val="32"/>
          <w:szCs w:val="32"/>
        </w:rPr>
        <w:t>“</w:t>
      </w:r>
      <w:r>
        <w:rPr>
          <w:rFonts w:hint="eastAsia"/>
          <w:sz w:val="32"/>
          <w:szCs w:val="32"/>
        </w:rPr>
        <w:t>三公</w:t>
      </w:r>
      <w:r>
        <w:rPr>
          <w:sz w:val="32"/>
          <w:szCs w:val="32"/>
        </w:rPr>
        <w:t>”</w:t>
      </w:r>
      <w:r>
        <w:rPr>
          <w:rFonts w:hint="eastAsia"/>
          <w:sz w:val="32"/>
          <w:szCs w:val="32"/>
        </w:rPr>
        <w:t>经费一般公共预算财政拨款支出预算为3.95万元，支出决算为3.95万元，完成预算的100%，2020年度</w:t>
      </w:r>
      <w:r>
        <w:rPr>
          <w:sz w:val="32"/>
          <w:szCs w:val="32"/>
        </w:rPr>
        <w:t>“</w:t>
      </w:r>
      <w:r>
        <w:rPr>
          <w:rFonts w:hint="eastAsia"/>
          <w:sz w:val="32"/>
          <w:szCs w:val="32"/>
        </w:rPr>
        <w:t>三公</w:t>
      </w:r>
      <w:r>
        <w:rPr>
          <w:sz w:val="32"/>
          <w:szCs w:val="32"/>
        </w:rPr>
        <w:t>”</w:t>
      </w:r>
      <w:r>
        <w:rPr>
          <w:rFonts w:hint="eastAsia"/>
          <w:sz w:val="32"/>
          <w:szCs w:val="32"/>
        </w:rPr>
        <w:t>经费支出决算数等于预算数的主要原因是按照年初预算合理支出。</w:t>
      </w:r>
    </w:p>
    <w:p>
      <w:pPr>
        <w:ind w:firstLine="640" w:firstLineChars="200"/>
        <w:rPr>
          <w:sz w:val="32"/>
          <w:szCs w:val="32"/>
        </w:rPr>
      </w:pPr>
      <w:r>
        <w:rPr>
          <w:rFonts w:hint="eastAsia"/>
          <w:sz w:val="32"/>
          <w:szCs w:val="32"/>
        </w:rPr>
        <w:t>2.</w:t>
      </w:r>
      <w:r>
        <w:rPr>
          <w:sz w:val="32"/>
          <w:szCs w:val="32"/>
        </w:rPr>
        <w:t>“</w:t>
      </w:r>
      <w:r>
        <w:rPr>
          <w:rFonts w:hint="eastAsia"/>
          <w:sz w:val="32"/>
          <w:szCs w:val="32"/>
        </w:rPr>
        <w:t>三公</w:t>
      </w:r>
      <w:r>
        <w:rPr>
          <w:sz w:val="32"/>
          <w:szCs w:val="32"/>
        </w:rPr>
        <w:t>”</w:t>
      </w:r>
      <w:r>
        <w:rPr>
          <w:rFonts w:hint="eastAsia"/>
          <w:sz w:val="32"/>
          <w:szCs w:val="32"/>
        </w:rPr>
        <w:t>经费一般公共预算财政拨款支出决算具体情况说明。</w:t>
      </w:r>
    </w:p>
    <w:p>
      <w:pPr>
        <w:ind w:firstLine="640" w:firstLineChars="200"/>
        <w:rPr>
          <w:sz w:val="32"/>
          <w:szCs w:val="32"/>
        </w:rPr>
      </w:pPr>
      <w:r>
        <w:rPr>
          <w:rFonts w:hint="eastAsia"/>
          <w:sz w:val="32"/>
          <w:szCs w:val="32"/>
        </w:rPr>
        <w:t>2020年度</w:t>
      </w:r>
      <w:r>
        <w:rPr>
          <w:sz w:val="32"/>
          <w:szCs w:val="32"/>
        </w:rPr>
        <w:t>“</w:t>
      </w:r>
      <w:r>
        <w:rPr>
          <w:rFonts w:hint="eastAsia"/>
          <w:sz w:val="32"/>
          <w:szCs w:val="32"/>
        </w:rPr>
        <w:t>三公</w:t>
      </w:r>
      <w:r>
        <w:rPr>
          <w:sz w:val="32"/>
          <w:szCs w:val="32"/>
        </w:rPr>
        <w:t>”</w:t>
      </w:r>
      <w:r>
        <w:rPr>
          <w:rFonts w:hint="eastAsia"/>
          <w:sz w:val="32"/>
          <w:szCs w:val="32"/>
        </w:rPr>
        <w:t>经费一般公共预算财政拨款支出决算中，因公出国（境）费用支出决算为0万元，占0%，与2019年度相比，增加0万元，增长0%，主要原因是无因公出国（境）；公务用车购置及运行维护费支出决算为0万元，占0%，与2019年度相比，增加0万元，增长0%，主要原因是无公务用车购置及运行维护费；公务接待费支出决算为3.95万元，占100%，与2019年度相比，减少1.4万元，下降26.17%，主要原因是疫情期间，接待费下降。具体情况如下：</w:t>
      </w:r>
    </w:p>
    <w:p>
      <w:pPr>
        <w:ind w:firstLine="640" w:firstLineChars="200"/>
        <w:rPr>
          <w:sz w:val="32"/>
          <w:szCs w:val="32"/>
        </w:rPr>
      </w:pPr>
      <w:r>
        <w:rPr>
          <w:rFonts w:hint="eastAsia"/>
          <w:sz w:val="32"/>
          <w:szCs w:val="32"/>
        </w:rPr>
        <w:t>（1）因公出国（境）费预算数为0万元，支出决算为</w:t>
      </w:r>
      <w:r>
        <w:rPr>
          <w:rFonts w:hint="eastAsia"/>
          <w:sz w:val="32"/>
          <w:szCs w:val="32"/>
          <w:lang w:val="zh-CN"/>
        </w:rPr>
        <w:t>0</w:t>
      </w:r>
      <w:r>
        <w:rPr>
          <w:rFonts w:hint="eastAsia"/>
          <w:sz w:val="32"/>
          <w:szCs w:val="32"/>
        </w:rPr>
        <w:t>万元。完成预算的0%。主要用于机关及下属预算单位人员的公务出国（境）的住宿费、国际旅费、培训费、公杂费等支出。决算数与预算数持平的主要原因是无因公出国（境）。全年使用一般公共预算财政拨款支出涉及因公出国(境)团组0个；累计</w:t>
      </w:r>
      <w:r>
        <w:rPr>
          <w:rFonts w:hint="eastAsia"/>
          <w:sz w:val="32"/>
          <w:szCs w:val="32"/>
          <w:lang w:val="zh-CN"/>
        </w:rPr>
        <w:t>0</w:t>
      </w:r>
      <w:r>
        <w:rPr>
          <w:rFonts w:hint="eastAsia"/>
          <w:sz w:val="32"/>
          <w:szCs w:val="32"/>
        </w:rPr>
        <w:t>人次。开支内容包括：无。</w:t>
      </w:r>
    </w:p>
    <w:p>
      <w:pPr>
        <w:ind w:firstLine="640" w:firstLineChars="200"/>
        <w:rPr>
          <w:sz w:val="32"/>
          <w:szCs w:val="32"/>
        </w:rPr>
      </w:pPr>
      <w:r>
        <w:rPr>
          <w:rFonts w:hint="eastAsia"/>
          <w:sz w:val="32"/>
          <w:szCs w:val="32"/>
        </w:rPr>
        <w:t>（2）公务用车购置及运行维护费预算数为0万元，支出决算为0万元，完成预算的0%。决算数与预算数持平的主要原因是无公务用车购置及运行维护费。</w:t>
      </w:r>
    </w:p>
    <w:p>
      <w:pPr>
        <w:ind w:firstLine="640" w:firstLineChars="200"/>
        <w:rPr>
          <w:sz w:val="32"/>
          <w:szCs w:val="32"/>
        </w:rPr>
      </w:pPr>
      <w:r>
        <w:rPr>
          <w:rFonts w:hint="eastAsia"/>
          <w:sz w:val="32"/>
          <w:szCs w:val="32"/>
        </w:rPr>
        <w:t>公务用车购置预算数为0万元，支出决算为</w:t>
      </w:r>
      <w:r>
        <w:rPr>
          <w:rFonts w:hint="eastAsia"/>
          <w:sz w:val="32"/>
          <w:szCs w:val="32"/>
          <w:lang w:val="zh-CN"/>
        </w:rPr>
        <w:t>0</w:t>
      </w:r>
      <w:r>
        <w:rPr>
          <w:rFonts w:hint="eastAsia"/>
          <w:sz w:val="32"/>
          <w:szCs w:val="32"/>
        </w:rPr>
        <w:t>万元（含购置税等附加费用），完成预算的0%。决算数与预算数持平的主要原因是无公务用车。主要用于经批准购置的</w:t>
      </w:r>
      <w:r>
        <w:rPr>
          <w:rFonts w:hint="eastAsia"/>
          <w:sz w:val="32"/>
          <w:szCs w:val="32"/>
          <w:lang w:val="zh-CN"/>
        </w:rPr>
        <w:t>0</w:t>
      </w:r>
      <w:r>
        <w:rPr>
          <w:rFonts w:hint="eastAsia"/>
          <w:sz w:val="32"/>
          <w:szCs w:val="32"/>
        </w:rPr>
        <w:t>辆公务用车；</w:t>
      </w:r>
    </w:p>
    <w:p>
      <w:pPr>
        <w:ind w:firstLine="640" w:firstLineChars="200"/>
        <w:rPr>
          <w:sz w:val="32"/>
          <w:szCs w:val="32"/>
        </w:rPr>
      </w:pPr>
      <w:r>
        <w:rPr>
          <w:rFonts w:hint="eastAsia"/>
          <w:sz w:val="32"/>
          <w:szCs w:val="32"/>
        </w:rPr>
        <w:t>公务用车运行维护费预算数为0万元，支出</w:t>
      </w:r>
      <w:r>
        <w:rPr>
          <w:rFonts w:hint="eastAsia"/>
          <w:sz w:val="32"/>
          <w:szCs w:val="32"/>
          <w:lang w:val="zh-CN"/>
        </w:rPr>
        <w:t>0</w:t>
      </w:r>
      <w:r>
        <w:rPr>
          <w:rFonts w:hint="eastAsia"/>
          <w:sz w:val="32"/>
          <w:szCs w:val="32"/>
        </w:rPr>
        <w:t>万元，完成预算的0%。决算数与预算数持平的主要原因是无公务用车运行维护费。主要用于单位所需的公务用车燃料费、维修费、过路过桥费、保险费、安全奖励费用等支出；2020年度，本级及所属单位开支一般公共预算财政拨款的公务用车保有量为</w:t>
      </w:r>
      <w:r>
        <w:rPr>
          <w:rFonts w:hint="eastAsia"/>
          <w:sz w:val="32"/>
          <w:szCs w:val="32"/>
          <w:lang w:val="zh-CN"/>
        </w:rPr>
        <w:t>0</w:t>
      </w:r>
      <w:r>
        <w:rPr>
          <w:rFonts w:hint="eastAsia"/>
          <w:sz w:val="32"/>
          <w:szCs w:val="32"/>
        </w:rPr>
        <w:t>辆。</w:t>
      </w:r>
    </w:p>
    <w:p>
      <w:pPr>
        <w:ind w:firstLine="640" w:firstLineChars="200"/>
        <w:rPr>
          <w:sz w:val="32"/>
          <w:szCs w:val="32"/>
        </w:rPr>
      </w:pPr>
      <w:r>
        <w:rPr>
          <w:rFonts w:hint="eastAsia"/>
          <w:sz w:val="32"/>
          <w:szCs w:val="32"/>
        </w:rPr>
        <w:t>（3）公务接待费预算数为3.95万元，支出决算为3.95万元，完成预算的100%。主要用于接待上级检查工作及兄弟县市工作交流用餐支出。决算数与预算数持平的主要原因是按照年初预算合理支出。全年使用一般公共预算财政拨款国内公务接待39团组，累计411人次。</w:t>
      </w:r>
    </w:p>
    <w:p>
      <w:pPr>
        <w:ind w:firstLine="640" w:firstLineChars="200"/>
        <w:rPr>
          <w:sz w:val="32"/>
          <w:szCs w:val="32"/>
        </w:rPr>
      </w:pPr>
      <w:r>
        <w:rPr>
          <w:rFonts w:hint="eastAsia"/>
          <w:sz w:val="32"/>
          <w:szCs w:val="32"/>
        </w:rPr>
        <w:t>外宾接待支出0万元，主要用于公务接待0团组，0人次。</w:t>
      </w:r>
    </w:p>
    <w:p>
      <w:pPr>
        <w:ind w:firstLine="640" w:firstLineChars="200"/>
        <w:rPr>
          <w:sz w:val="32"/>
          <w:szCs w:val="32"/>
        </w:rPr>
      </w:pPr>
      <w:r>
        <w:rPr>
          <w:rFonts w:hint="eastAsia"/>
          <w:sz w:val="32"/>
          <w:szCs w:val="32"/>
        </w:rPr>
        <w:t>其他国内公务接待支出3.95万元，主要用于公务接待39团组，411人次。</w:t>
      </w:r>
    </w:p>
    <w:p>
      <w:pPr>
        <w:ind w:firstLine="640" w:firstLineChars="200"/>
        <w:rPr>
          <w:sz w:val="32"/>
          <w:szCs w:val="32"/>
        </w:rPr>
      </w:pPr>
      <w:r>
        <w:rPr>
          <w:rFonts w:hint="eastAsia"/>
          <w:sz w:val="32"/>
          <w:szCs w:val="32"/>
        </w:rPr>
        <w:t>（十）机关运行经费支出说明</w:t>
      </w:r>
    </w:p>
    <w:p>
      <w:pPr>
        <w:ind w:firstLine="640" w:firstLineChars="200"/>
        <w:rPr>
          <w:sz w:val="32"/>
          <w:szCs w:val="32"/>
        </w:rPr>
      </w:pPr>
      <w:r>
        <w:rPr>
          <w:rFonts w:hint="eastAsia"/>
          <w:sz w:val="32"/>
          <w:szCs w:val="32"/>
        </w:rPr>
        <w:t>2020年度机关运行经费年初预算数为99.07万元，支出决算为89.64万元，完成年初预算的90.48%，决算数小于预算数的主要原因年初预算的会议会和接待费等支出调整至项目支出；比2019年度增加4.48万元，增长5.26%，主要原因是工会支出有所增加。</w:t>
      </w:r>
    </w:p>
    <w:p>
      <w:pPr>
        <w:ind w:firstLine="640" w:firstLineChars="200"/>
        <w:rPr>
          <w:sz w:val="32"/>
          <w:szCs w:val="32"/>
        </w:rPr>
      </w:pPr>
      <w:r>
        <w:rPr>
          <w:rFonts w:hint="eastAsia"/>
          <w:sz w:val="32"/>
          <w:szCs w:val="32"/>
        </w:rPr>
        <w:t>（十一）政府采购支出说明</w:t>
      </w:r>
    </w:p>
    <w:p>
      <w:pPr>
        <w:ind w:firstLine="640" w:firstLineChars="200"/>
        <w:rPr>
          <w:sz w:val="32"/>
          <w:szCs w:val="32"/>
        </w:rPr>
      </w:pPr>
      <w:r>
        <w:rPr>
          <w:rFonts w:hint="eastAsia"/>
          <w:sz w:val="32"/>
          <w:szCs w:val="32"/>
        </w:rPr>
        <w:t>2020年度政府采购支出总额84.77万元，其中：政府采购货物支出81.57万元、政府采购工程支出0万元、政府采购服务支出3.2万元。授予中小企业合同金额10万元，占政府采购支出总额的11.8%。其中，授予小微企业合同金额10万元，占政府采购支出总额的11.8%。</w:t>
      </w:r>
    </w:p>
    <w:p>
      <w:pPr>
        <w:ind w:firstLine="640" w:firstLineChars="200"/>
        <w:rPr>
          <w:sz w:val="32"/>
          <w:szCs w:val="32"/>
        </w:rPr>
      </w:pPr>
      <w:r>
        <w:rPr>
          <w:rFonts w:hint="eastAsia"/>
          <w:sz w:val="32"/>
          <w:szCs w:val="32"/>
        </w:rPr>
        <w:t>（十二）国有资产占有情况说明</w:t>
      </w:r>
    </w:p>
    <w:p>
      <w:pPr>
        <w:ind w:firstLine="640" w:firstLineChars="200"/>
        <w:rPr>
          <w:sz w:val="32"/>
          <w:szCs w:val="32"/>
        </w:rPr>
      </w:pPr>
      <w:r>
        <w:rPr>
          <w:rFonts w:hint="eastAsia"/>
          <w:sz w:val="32"/>
          <w:szCs w:val="32"/>
        </w:rPr>
        <w:t xml:space="preserve">截至2020年12月31日，人力资源和社会保障局本级及所属各单位共有车辆0辆，其中，副部（省）级及以上领导用车0辆、主要领导干部用车0辆、机要通信用车0辆、应急保障用车0辆、执法执勤用车0辆、特种专业技术用车0辆、离退休干部用车0辆、其他用车0辆；单价50万元以上通用设备0台（套），单价100万元以上专用设备0台（套）。 </w:t>
      </w:r>
    </w:p>
    <w:p>
      <w:pPr>
        <w:ind w:firstLine="640" w:firstLineChars="200"/>
        <w:rPr>
          <w:sz w:val="32"/>
          <w:szCs w:val="32"/>
        </w:rPr>
      </w:pPr>
      <w:r>
        <w:rPr>
          <w:rFonts w:hint="eastAsia"/>
          <w:sz w:val="32"/>
          <w:szCs w:val="32"/>
        </w:rPr>
        <w:t>（十三）预算绩效情况说明</w:t>
      </w:r>
    </w:p>
    <w:p>
      <w:pPr>
        <w:ind w:firstLine="640" w:firstLineChars="200"/>
        <w:rPr>
          <w:sz w:val="32"/>
          <w:szCs w:val="32"/>
        </w:rPr>
      </w:pPr>
      <w:r>
        <w:rPr>
          <w:rFonts w:hint="eastAsia"/>
          <w:sz w:val="32"/>
          <w:szCs w:val="32"/>
        </w:rPr>
        <w:t>1.预算绩效管理工作开展情况。</w:t>
      </w:r>
    </w:p>
    <w:p>
      <w:pPr>
        <w:ind w:firstLine="640" w:firstLineChars="200"/>
        <w:rPr>
          <w:sz w:val="32"/>
          <w:szCs w:val="32"/>
        </w:rPr>
      </w:pPr>
      <w:r>
        <w:rPr>
          <w:rFonts w:hint="eastAsia"/>
          <w:sz w:val="32"/>
          <w:szCs w:val="32"/>
        </w:rPr>
        <w:t>根据预算绩效管理要求，人力资源和社会保障局组织对2020年度一般公共预算项目支出全面开展绩效自评，其中，一级项目0个，二级项目9个，共涉及资金517.23万元，占一般公共预算项目支出总额的79.64%。本年无政府性基金预算项目。</w:t>
      </w:r>
    </w:p>
    <w:p>
      <w:pPr>
        <w:ind w:firstLine="640" w:firstLineChars="200"/>
        <w:rPr>
          <w:sz w:val="32"/>
          <w:szCs w:val="32"/>
        </w:rPr>
      </w:pPr>
      <w:r>
        <w:rPr>
          <w:rFonts w:hint="eastAsia"/>
          <w:sz w:val="32"/>
          <w:szCs w:val="32"/>
        </w:rPr>
        <w:t>组织对“人力资源工作经费”、“劳动保障工作经费”等9个项目开展了部门评价，涉及一般公共预算支出517.23万元，政府性基金预算支出0万元。其中，对“人力资源工作经费”、“劳动保障工作经费”等项目委托“丽水伟峰税务师事务所（普通合伙）”第三方机构开展绩效评价。从评价情况来看，评价结果为优，各项目都较好地完成年初设定的绩效目标。</w:t>
      </w:r>
    </w:p>
    <w:p>
      <w:pPr>
        <w:ind w:firstLine="640" w:firstLineChars="200"/>
        <w:rPr>
          <w:sz w:val="32"/>
          <w:szCs w:val="32"/>
        </w:rPr>
      </w:pPr>
      <w:r>
        <w:rPr>
          <w:rFonts w:hint="eastAsia"/>
          <w:sz w:val="32"/>
          <w:szCs w:val="32"/>
        </w:rPr>
        <w:t>本年无部门整体支出绩效评价。</w:t>
      </w:r>
    </w:p>
    <w:p>
      <w:pPr>
        <w:ind w:firstLine="640" w:firstLineChars="200"/>
        <w:rPr>
          <w:sz w:val="32"/>
          <w:szCs w:val="32"/>
        </w:rPr>
      </w:pPr>
      <w:r>
        <w:rPr>
          <w:rFonts w:hint="eastAsia"/>
          <w:sz w:val="32"/>
          <w:szCs w:val="32"/>
        </w:rPr>
        <w:t>本年无下属部门或单位整体支出绩效评价。</w:t>
      </w:r>
    </w:p>
    <w:p>
      <w:pPr>
        <w:ind w:firstLine="640" w:firstLineChars="200"/>
        <w:rPr>
          <w:sz w:val="32"/>
          <w:szCs w:val="32"/>
        </w:rPr>
      </w:pPr>
      <w:r>
        <w:rPr>
          <w:rFonts w:hint="eastAsia"/>
          <w:sz w:val="32"/>
          <w:szCs w:val="32"/>
        </w:rPr>
        <w:t>2.单位决算中项目绩效自评结果</w:t>
      </w:r>
    </w:p>
    <w:p>
      <w:pPr>
        <w:ind w:firstLine="640" w:firstLineChars="200"/>
        <w:rPr>
          <w:sz w:val="32"/>
          <w:szCs w:val="32"/>
        </w:rPr>
      </w:pPr>
      <w:r>
        <w:rPr>
          <w:rFonts w:hint="eastAsia"/>
          <w:sz w:val="32"/>
          <w:szCs w:val="32"/>
        </w:rPr>
        <w:t>人力资源和社会保障局在2020年度单位决算中反映人力资源工作经费及劳动保障工作经费项目绩效自评结果。</w:t>
      </w:r>
    </w:p>
    <w:p>
      <w:pPr>
        <w:pStyle w:val="2"/>
        <w:rPr>
          <w:rFonts w:hint="default"/>
          <w:sz w:val="32"/>
          <w:szCs w:val="32"/>
        </w:rPr>
      </w:pPr>
      <w:r>
        <w:rPr>
          <w:sz w:val="32"/>
          <w:szCs w:val="32"/>
        </w:rPr>
        <w:t xml:space="preserve">    人力资源工作经费项目绩效自评综述：根据年初设定的绩效目标，项目自评得分95分，自评结论为“优”。项目全年预算数为138.09万元，执行数为138.04万元，完成预算的99.96%。项目绩效目标完成情况：一是完成干部培训任务；二是培养及开发各类人才；三是努力推进实施全民参保计划、全民医保制度、工伤保险条例、长期护理保险以及最多跑一次改革等工作，各项工作平稳有序开展；四是解决县内高层次人才紧缺问题；五是解决城镇就业问题，稳定社会矛盾；六是推进机关事业单位工资制度改革。发现的问题及原因：因下属人才管理服务处9月份并账到局机关，故导致批复资金与实际支出资金不符。下一步改进措施：严格按照预算安排资金执行年度资金。</w:t>
      </w:r>
    </w:p>
    <w:p>
      <w:pPr>
        <w:pStyle w:val="2"/>
        <w:rPr>
          <w:rFonts w:hint="default"/>
        </w:rPr>
      </w:pPr>
    </w:p>
    <w:tbl>
      <w:tblPr>
        <w:tblStyle w:val="6"/>
        <w:tblpPr w:leftFromText="180" w:rightFromText="180" w:vertAnchor="text" w:horzAnchor="page" w:tblpX="1680" w:tblpY="597"/>
        <w:tblOverlap w:val="never"/>
        <w:tblW w:w="8758" w:type="dxa"/>
        <w:tblInd w:w="0" w:type="dxa"/>
        <w:tblLayout w:type="fixed"/>
        <w:tblCellMar>
          <w:top w:w="0" w:type="dxa"/>
          <w:left w:w="0" w:type="dxa"/>
          <w:bottom w:w="0" w:type="dxa"/>
          <w:right w:w="0" w:type="dxa"/>
        </w:tblCellMar>
      </w:tblPr>
      <w:tblGrid>
        <w:gridCol w:w="458"/>
        <w:gridCol w:w="454"/>
        <w:gridCol w:w="888"/>
        <w:gridCol w:w="35"/>
        <w:gridCol w:w="1407"/>
        <w:gridCol w:w="171"/>
        <w:gridCol w:w="1110"/>
        <w:gridCol w:w="1096"/>
        <w:gridCol w:w="479"/>
        <w:gridCol w:w="795"/>
        <w:gridCol w:w="365"/>
        <w:gridCol w:w="400"/>
        <w:gridCol w:w="1100"/>
      </w:tblGrid>
      <w:tr>
        <w:tblPrEx>
          <w:tblCellMar>
            <w:top w:w="0" w:type="dxa"/>
            <w:left w:w="0" w:type="dxa"/>
            <w:bottom w:w="0" w:type="dxa"/>
            <w:right w:w="0" w:type="dxa"/>
          </w:tblCellMar>
        </w:tblPrEx>
        <w:trPr>
          <w:trHeight w:val="404" w:hRule="atLeast"/>
        </w:trPr>
        <w:tc>
          <w:tcPr>
            <w:tcW w:w="8758" w:type="dxa"/>
            <w:gridSpan w:val="13"/>
            <w:tcBorders>
              <w:top w:val="nil"/>
              <w:left w:val="nil"/>
              <w:bottom w:val="nil"/>
              <w:right w:val="nil"/>
            </w:tcBorders>
            <w:shd w:val="clear" w:color="auto" w:fill="FFFFFF"/>
            <w:noWrap/>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szCs w:val="21"/>
              </w:rPr>
              <w:t>景宁县项目支出绩效自评表</w:t>
            </w:r>
          </w:p>
        </w:tc>
      </w:tr>
      <w:tr>
        <w:tblPrEx>
          <w:tblCellMar>
            <w:top w:w="0" w:type="dxa"/>
            <w:left w:w="0" w:type="dxa"/>
            <w:bottom w:w="0" w:type="dxa"/>
            <w:right w:w="0" w:type="dxa"/>
          </w:tblCellMar>
        </w:tblPrEx>
        <w:trPr>
          <w:trHeight w:val="313" w:hRule="atLeast"/>
        </w:trPr>
        <w:tc>
          <w:tcPr>
            <w:tcW w:w="8758" w:type="dxa"/>
            <w:gridSpan w:val="13"/>
            <w:tcBorders>
              <w:top w:val="nil"/>
              <w:left w:val="nil"/>
              <w:bottom w:val="nil"/>
              <w:right w:val="nil"/>
            </w:tcBorders>
            <w:shd w:val="clear" w:color="auto" w:fill="FFFFFF"/>
            <w:noWrap/>
            <w:tcMar>
              <w:top w:w="0" w:type="dxa"/>
              <w:left w:w="105" w:type="dxa"/>
              <w:bottom w:w="0" w:type="dxa"/>
              <w:right w:w="105" w:type="dxa"/>
            </w:tcMar>
          </w:tcPr>
          <w:p>
            <w:pPr>
              <w:wordWrap w:val="0"/>
              <w:spacing w:line="195" w:lineRule="atLeast"/>
              <w:jc w:val="center"/>
              <w:rPr>
                <w:rFonts w:ascii="宋体" w:hAnsi="宋体" w:cs="宋体"/>
                <w:spacing w:val="7"/>
                <w:kern w:val="0"/>
                <w:sz w:val="18"/>
                <w:szCs w:val="18"/>
              </w:rPr>
            </w:pPr>
            <w:r>
              <w:rPr>
                <w:rFonts w:hint="eastAsia" w:ascii="宋体" w:hAnsi="宋体" w:cs="宋体"/>
                <w:spacing w:val="7"/>
                <w:sz w:val="18"/>
                <w:szCs w:val="18"/>
              </w:rPr>
              <w:t>（2020年度）</w:t>
            </w:r>
          </w:p>
        </w:tc>
      </w:tr>
      <w:tr>
        <w:tblPrEx>
          <w:tblCellMar>
            <w:top w:w="0" w:type="dxa"/>
            <w:left w:w="0" w:type="dxa"/>
            <w:bottom w:w="0" w:type="dxa"/>
            <w:right w:w="0" w:type="dxa"/>
          </w:tblCellMar>
        </w:tblPrEx>
        <w:trPr>
          <w:trHeight w:val="300" w:hRule="atLeast"/>
        </w:trPr>
        <w:tc>
          <w:tcPr>
            <w:tcW w:w="912" w:type="dxa"/>
            <w:gridSpan w:val="2"/>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项目名称</w:t>
            </w:r>
          </w:p>
        </w:tc>
        <w:tc>
          <w:tcPr>
            <w:tcW w:w="7846" w:type="dxa"/>
            <w:gridSpan w:val="11"/>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eastAsia="仿宋_GB2312"/>
                <w:sz w:val="18"/>
                <w:szCs w:val="18"/>
              </w:rPr>
              <w:t>人力资源工作经费</w:t>
            </w:r>
          </w:p>
        </w:tc>
      </w:tr>
      <w:tr>
        <w:tblPrEx>
          <w:tblCellMar>
            <w:top w:w="0" w:type="dxa"/>
            <w:left w:w="0" w:type="dxa"/>
            <w:bottom w:w="0" w:type="dxa"/>
            <w:right w:w="0" w:type="dxa"/>
          </w:tblCellMar>
        </w:tblPrEx>
        <w:trPr>
          <w:trHeight w:val="439" w:hRule="atLeast"/>
        </w:trPr>
        <w:tc>
          <w:tcPr>
            <w:tcW w:w="912" w:type="dxa"/>
            <w:gridSpan w:val="2"/>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主管部门</w:t>
            </w:r>
          </w:p>
        </w:tc>
        <w:tc>
          <w:tcPr>
            <w:tcW w:w="361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315"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景宁畲族自治县人力资源和社会保障局</w:t>
            </w:r>
          </w:p>
        </w:tc>
        <w:tc>
          <w:tcPr>
            <w:tcW w:w="1096"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sz w:val="15"/>
                <w:szCs w:val="15"/>
              </w:rPr>
              <w:t>实施单位</w:t>
            </w:r>
          </w:p>
        </w:tc>
        <w:tc>
          <w:tcPr>
            <w:tcW w:w="3139" w:type="dxa"/>
            <w:gridSpan w:val="5"/>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kern w:val="0"/>
                <w:sz w:val="15"/>
                <w:szCs w:val="15"/>
              </w:rPr>
              <w:t>景宁畲族自治县人力资源和社会保障局</w:t>
            </w:r>
          </w:p>
        </w:tc>
      </w:tr>
      <w:tr>
        <w:tblPrEx>
          <w:tblCellMar>
            <w:top w:w="0" w:type="dxa"/>
            <w:left w:w="0" w:type="dxa"/>
            <w:bottom w:w="0" w:type="dxa"/>
            <w:right w:w="0" w:type="dxa"/>
          </w:tblCellMar>
        </w:tblPrEx>
        <w:trPr>
          <w:trHeight w:val="495" w:hRule="atLeast"/>
        </w:trPr>
        <w:tc>
          <w:tcPr>
            <w:tcW w:w="912" w:type="dxa"/>
            <w:gridSpan w:val="2"/>
            <w:vMerge w:val="restart"/>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项目资金（万元）</w:t>
            </w:r>
          </w:p>
        </w:tc>
        <w:tc>
          <w:tcPr>
            <w:tcW w:w="2501"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11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年初预算数</w:t>
            </w:r>
          </w:p>
        </w:tc>
        <w:tc>
          <w:tcPr>
            <w:tcW w:w="1096"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sz w:val="15"/>
                <w:szCs w:val="15"/>
              </w:rPr>
              <w:t>全年预算数</w:t>
            </w:r>
          </w:p>
        </w:tc>
        <w:tc>
          <w:tcPr>
            <w:tcW w:w="1639" w:type="dxa"/>
            <w:gridSpan w:val="3"/>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sz w:val="15"/>
                <w:szCs w:val="15"/>
              </w:rPr>
              <w:t>全年执行数</w:t>
            </w:r>
          </w:p>
        </w:tc>
        <w:tc>
          <w:tcPr>
            <w:tcW w:w="1500"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5"/>
                <w:szCs w:val="15"/>
              </w:rPr>
            </w:pPr>
            <w:r>
              <w:rPr>
                <w:rFonts w:hint="eastAsia" w:ascii="仿宋_GB2312" w:hAnsi="仿宋_GB2312" w:eastAsia="仿宋_GB2312" w:cs="仿宋_GB2312"/>
                <w:spacing w:val="7"/>
                <w:sz w:val="15"/>
                <w:szCs w:val="15"/>
              </w:rPr>
              <w:t>执行率</w:t>
            </w:r>
          </w:p>
        </w:tc>
      </w:tr>
      <w:tr>
        <w:tblPrEx>
          <w:tblCellMar>
            <w:top w:w="0" w:type="dxa"/>
            <w:left w:w="0" w:type="dxa"/>
            <w:bottom w:w="0" w:type="dxa"/>
            <w:right w:w="0" w:type="dxa"/>
          </w:tblCellMar>
        </w:tblPrEx>
        <w:trPr>
          <w:trHeight w:val="300"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501"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年度资金总额</w:t>
            </w:r>
          </w:p>
        </w:tc>
        <w:tc>
          <w:tcPr>
            <w:tcW w:w="111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138.09</w:t>
            </w:r>
          </w:p>
        </w:tc>
        <w:tc>
          <w:tcPr>
            <w:tcW w:w="1096"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138.09</w:t>
            </w:r>
          </w:p>
        </w:tc>
        <w:tc>
          <w:tcPr>
            <w:tcW w:w="1639"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138.04</w:t>
            </w:r>
          </w:p>
        </w:tc>
        <w:tc>
          <w:tcPr>
            <w:tcW w:w="1500"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99.96</w:t>
            </w:r>
            <w:r>
              <w:rPr>
                <w:rFonts w:ascii="仿宋_GB2312" w:hAnsi="仿宋_GB2312" w:eastAsia="仿宋_GB2312" w:cs="仿宋_GB2312"/>
                <w:spacing w:val="7"/>
                <w:sz w:val="18"/>
                <w:szCs w:val="18"/>
              </w:rPr>
              <w:t>%</w:t>
            </w:r>
          </w:p>
        </w:tc>
      </w:tr>
      <w:tr>
        <w:tblPrEx>
          <w:tblCellMar>
            <w:top w:w="0" w:type="dxa"/>
            <w:left w:w="0" w:type="dxa"/>
            <w:bottom w:w="0" w:type="dxa"/>
            <w:right w:w="0" w:type="dxa"/>
          </w:tblCellMar>
        </w:tblPrEx>
        <w:trPr>
          <w:trHeight w:val="315"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501"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其中：当年财政拨款</w:t>
            </w:r>
          </w:p>
        </w:tc>
        <w:tc>
          <w:tcPr>
            <w:tcW w:w="111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138.09</w:t>
            </w:r>
          </w:p>
        </w:tc>
        <w:tc>
          <w:tcPr>
            <w:tcW w:w="1096"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138.09</w:t>
            </w:r>
          </w:p>
        </w:tc>
        <w:tc>
          <w:tcPr>
            <w:tcW w:w="1639"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138.04</w:t>
            </w:r>
          </w:p>
        </w:tc>
        <w:tc>
          <w:tcPr>
            <w:tcW w:w="1500"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99.96</w:t>
            </w:r>
            <w:r>
              <w:rPr>
                <w:rFonts w:ascii="仿宋_GB2312" w:hAnsi="仿宋_GB2312" w:eastAsia="仿宋_GB2312" w:cs="仿宋_GB2312"/>
                <w:spacing w:val="7"/>
                <w:sz w:val="18"/>
                <w:szCs w:val="18"/>
              </w:rPr>
              <w:t>%</w:t>
            </w:r>
          </w:p>
        </w:tc>
      </w:tr>
      <w:tr>
        <w:tblPrEx>
          <w:tblCellMar>
            <w:top w:w="0" w:type="dxa"/>
            <w:left w:w="0" w:type="dxa"/>
            <w:bottom w:w="0" w:type="dxa"/>
            <w:right w:w="0" w:type="dxa"/>
          </w:tblCellMar>
        </w:tblPrEx>
        <w:trPr>
          <w:trHeight w:val="300"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501"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      上年结转资金</w:t>
            </w:r>
          </w:p>
        </w:tc>
        <w:tc>
          <w:tcPr>
            <w:tcW w:w="111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096"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639"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00"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501"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  其他资金</w:t>
            </w:r>
          </w:p>
        </w:tc>
        <w:tc>
          <w:tcPr>
            <w:tcW w:w="1110"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096"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639" w:type="dxa"/>
            <w:gridSpan w:val="3"/>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00" w:type="dxa"/>
            <w:gridSpan w:val="2"/>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96" w:hRule="atLeast"/>
        </w:trPr>
        <w:tc>
          <w:tcPr>
            <w:tcW w:w="912" w:type="dxa"/>
            <w:gridSpan w:val="2"/>
            <w:vMerge w:val="restart"/>
            <w:tcBorders>
              <w:top w:val="nil"/>
              <w:left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年度总体目标</w:t>
            </w:r>
          </w:p>
        </w:tc>
        <w:tc>
          <w:tcPr>
            <w:tcW w:w="361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预期目标</w:t>
            </w:r>
          </w:p>
        </w:tc>
        <w:tc>
          <w:tcPr>
            <w:tcW w:w="4235" w:type="dxa"/>
            <w:gridSpan w:val="6"/>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实际完成情况</w:t>
            </w:r>
          </w:p>
        </w:tc>
      </w:tr>
      <w:tr>
        <w:tblPrEx>
          <w:tblCellMar>
            <w:top w:w="0" w:type="dxa"/>
            <w:left w:w="0" w:type="dxa"/>
            <w:bottom w:w="0" w:type="dxa"/>
            <w:right w:w="0" w:type="dxa"/>
          </w:tblCellMar>
        </w:tblPrEx>
        <w:trPr>
          <w:trHeight w:val="351" w:hRule="atLeast"/>
        </w:trPr>
        <w:tc>
          <w:tcPr>
            <w:tcW w:w="912"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361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138.09万元</w:t>
            </w:r>
          </w:p>
        </w:tc>
        <w:tc>
          <w:tcPr>
            <w:tcW w:w="4235" w:type="dxa"/>
            <w:gridSpan w:val="6"/>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138.04万元</w:t>
            </w:r>
          </w:p>
        </w:tc>
      </w:tr>
      <w:tr>
        <w:tblPrEx>
          <w:tblCellMar>
            <w:top w:w="0" w:type="dxa"/>
            <w:left w:w="0" w:type="dxa"/>
            <w:bottom w:w="0" w:type="dxa"/>
            <w:right w:w="0" w:type="dxa"/>
          </w:tblCellMar>
        </w:tblPrEx>
        <w:trPr>
          <w:trHeight w:val="355" w:hRule="atLeast"/>
        </w:trPr>
        <w:tc>
          <w:tcPr>
            <w:tcW w:w="458" w:type="dxa"/>
            <w:vMerge w:val="restart"/>
            <w:tcBorders>
              <w:top w:val="nil"/>
              <w:left w:val="single" w:color="auto" w:sz="6" w:space="0"/>
              <w:bottom w:val="nil"/>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绩效指标</w:t>
            </w:r>
          </w:p>
        </w:tc>
        <w:tc>
          <w:tcPr>
            <w:tcW w:w="454"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一级指标</w:t>
            </w:r>
          </w:p>
        </w:tc>
        <w:tc>
          <w:tcPr>
            <w:tcW w:w="888"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二级指标</w:t>
            </w:r>
          </w:p>
        </w:tc>
        <w:tc>
          <w:tcPr>
            <w:tcW w:w="1442" w:type="dxa"/>
            <w:gridSpan w:val="2"/>
            <w:tcBorders>
              <w:top w:val="single" w:color="auto" w:sz="6" w:space="0"/>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三级指标</w:t>
            </w:r>
          </w:p>
        </w:tc>
        <w:tc>
          <w:tcPr>
            <w:tcW w:w="1281"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年度</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指标值</w:t>
            </w:r>
          </w:p>
        </w:tc>
        <w:tc>
          <w:tcPr>
            <w:tcW w:w="1575"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实际</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完成值</w:t>
            </w:r>
          </w:p>
        </w:tc>
        <w:tc>
          <w:tcPr>
            <w:tcW w:w="795"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权重</w:t>
            </w:r>
          </w:p>
        </w:tc>
        <w:tc>
          <w:tcPr>
            <w:tcW w:w="765"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得分</w:t>
            </w:r>
          </w:p>
        </w:tc>
        <w:tc>
          <w:tcPr>
            <w:tcW w:w="1100" w:type="dxa"/>
            <w:tcBorders>
              <w:top w:val="single" w:color="auto" w:sz="6" w:space="0"/>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偏差原因分析及改进措施</w:t>
            </w: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产出指标</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数量</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引才人数</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13名</w:t>
            </w:r>
          </w:p>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硕士研究生</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完成</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704"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共组织事业单位工作人员招录工作场数</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2场</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2场</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干部教育培训</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3500余名</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3500</w:t>
            </w:r>
          </w:p>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余名</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质量</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时效</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03"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成本</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项目成本控制在预算内</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138.09万元</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138.04万元</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19</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05"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restart"/>
            <w:tcBorders>
              <w:top w:val="single" w:color="auto" w:sz="4" w:space="0"/>
              <w:left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效益指标</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经济效益指标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社会效益指标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城乡居民养老保险保障水平</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保障水平达到11%</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达标</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25%</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23</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生态效益指标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49"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37"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69" w:hRule="atLeast"/>
        </w:trPr>
        <w:tc>
          <w:tcPr>
            <w:tcW w:w="458" w:type="dxa"/>
            <w:vMerge w:val="restart"/>
            <w:tcBorders>
              <w:top w:val="nil"/>
              <w:left w:val="single" w:color="auto" w:sz="6"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可持续影响指标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49"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9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486"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满意度</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888"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服务对象满意度指标</w:t>
            </w: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服务对象满意度</w:t>
            </w: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≥100.00%</w:t>
            </w: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92%</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25%</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23</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38"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94"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24"/>
                <w:szCs w:val="24"/>
              </w:rPr>
            </w:pPr>
          </w:p>
        </w:tc>
        <w:tc>
          <w:tcPr>
            <w:tcW w:w="454"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888"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442"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281"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57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220" w:hRule="atLeast"/>
        </w:trPr>
        <w:tc>
          <w:tcPr>
            <w:tcW w:w="6098" w:type="dxa"/>
            <w:gridSpan w:val="9"/>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总分</w:t>
            </w:r>
          </w:p>
        </w:tc>
        <w:tc>
          <w:tcPr>
            <w:tcW w:w="795"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100</w:t>
            </w:r>
          </w:p>
        </w:tc>
        <w:tc>
          <w:tcPr>
            <w:tcW w:w="765"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95</w:t>
            </w:r>
          </w:p>
        </w:tc>
        <w:tc>
          <w:tcPr>
            <w:tcW w:w="1100"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1835" w:type="dxa"/>
            <w:gridSpan w:val="4"/>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自评结论</w:t>
            </w:r>
          </w:p>
        </w:tc>
        <w:tc>
          <w:tcPr>
            <w:tcW w:w="4263" w:type="dxa"/>
            <w:gridSpan w:val="5"/>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color w:val="000000"/>
                <w:kern w:val="0"/>
                <w:sz w:val="18"/>
                <w:szCs w:val="18"/>
              </w:rPr>
              <w:t>优</w:t>
            </w:r>
            <w:r>
              <w:rPr>
                <w:rFonts w:hint="eastAsia" w:ascii="仿宋_GB2312" w:hAnsi="仿宋_GB2312" w:eastAsia="仿宋_GB2312" w:cs="仿宋_GB2312"/>
                <w:color w:val="000000"/>
                <w:kern w:val="0"/>
                <w:sz w:val="18"/>
                <w:szCs w:val="18"/>
              </w:rPr>
              <w:sym w:font="Wingdings 2" w:char="0052"/>
            </w:r>
            <w:r>
              <w:rPr>
                <w:rFonts w:hint="eastAsia" w:ascii="仿宋_GB2312" w:hAnsi="仿宋_GB2312" w:eastAsia="仿宋_GB2312" w:cs="仿宋_GB2312"/>
                <w:color w:val="000000"/>
                <w:kern w:val="0"/>
                <w:sz w:val="18"/>
                <w:szCs w:val="18"/>
              </w:rPr>
              <w:t xml:space="preserve">      良□      中□    差□</w:t>
            </w:r>
          </w:p>
        </w:tc>
        <w:tc>
          <w:tcPr>
            <w:tcW w:w="2660" w:type="dxa"/>
            <w:gridSpan w:val="4"/>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r>
              <w:rPr>
                <w:rFonts w:hint="eastAsia" w:ascii="仿宋_GB2312" w:hAnsi="仿宋_GB2312" w:eastAsia="仿宋_GB2312" w:cs="仿宋_GB2312"/>
                <w:color w:val="000000"/>
                <w:kern w:val="0"/>
                <w:sz w:val="18"/>
                <w:szCs w:val="18"/>
              </w:rPr>
              <w:t>总分高于90分（含）的结论为“优”，90～80分（含）为“良”，80～60分（含）为“中”，低于60分为“差”。</w:t>
            </w:r>
          </w:p>
        </w:tc>
      </w:tr>
    </w:tbl>
    <w:p>
      <w:pPr>
        <w:ind w:firstLine="640" w:firstLineChars="200"/>
        <w:rPr>
          <w:sz w:val="32"/>
          <w:szCs w:val="32"/>
        </w:rPr>
      </w:pPr>
      <w:r>
        <w:rPr>
          <w:rFonts w:hint="eastAsia"/>
          <w:sz w:val="32"/>
          <w:szCs w:val="32"/>
        </w:rPr>
        <w:t>劳动保障工作经费项目绩效自评综述：根据年初设定的绩效目标，项目自评得分95分，自评结论为</w:t>
      </w:r>
      <w:r>
        <w:rPr>
          <w:sz w:val="32"/>
          <w:szCs w:val="32"/>
        </w:rPr>
        <w:t>“</w:t>
      </w:r>
      <w:r>
        <w:rPr>
          <w:rFonts w:hint="eastAsia"/>
          <w:sz w:val="32"/>
          <w:szCs w:val="32"/>
        </w:rPr>
        <w:t>优</w:t>
      </w:r>
      <w:r>
        <w:rPr>
          <w:sz w:val="32"/>
          <w:szCs w:val="32"/>
        </w:rPr>
        <w:t>”</w:t>
      </w:r>
      <w:r>
        <w:rPr>
          <w:rFonts w:hint="eastAsia"/>
          <w:sz w:val="32"/>
          <w:szCs w:val="32"/>
        </w:rPr>
        <w:t>。项目全年预算数为22.36万元，执行数为21.98万元，完成预算的98.3%。项目绩效目标完成情况：一是强化劳动争议调处力度，加强法援工作站建设；二是解决信访问题；三是促进我县农民工工资支付工作进一步规范，充分保障了劳动者合法获得劳动报酬的权益；四是确保工伤基金安全，维护工伤职工的合法权益。该项目截至2020年12月31日计划资金均由县财政局实际到位，其中年初预算24万，预算指标调整至“人力资源工作经费”项目1.64万元，资金到位率100.00%。资金使用情况：截至2020年12月31日资金均根据立项要求使用，结余0.38万元。下一步改进措施：无。</w:t>
      </w:r>
    </w:p>
    <w:p>
      <w:pPr>
        <w:ind w:firstLine="640" w:firstLineChars="200"/>
        <w:rPr>
          <w:sz w:val="32"/>
          <w:szCs w:val="32"/>
        </w:rPr>
      </w:pPr>
    </w:p>
    <w:tbl>
      <w:tblPr>
        <w:tblStyle w:val="6"/>
        <w:tblW w:w="8965" w:type="dxa"/>
        <w:tblInd w:w="-76" w:type="dxa"/>
        <w:tblLayout w:type="fixed"/>
        <w:tblCellMar>
          <w:top w:w="0" w:type="dxa"/>
          <w:left w:w="0" w:type="dxa"/>
          <w:bottom w:w="0" w:type="dxa"/>
          <w:right w:w="0" w:type="dxa"/>
        </w:tblCellMar>
      </w:tblPr>
      <w:tblGrid>
        <w:gridCol w:w="458"/>
        <w:gridCol w:w="605"/>
        <w:gridCol w:w="715"/>
        <w:gridCol w:w="57"/>
        <w:gridCol w:w="1233"/>
        <w:gridCol w:w="95"/>
        <w:gridCol w:w="1223"/>
        <w:gridCol w:w="911"/>
        <w:gridCol w:w="347"/>
        <w:gridCol w:w="454"/>
        <w:gridCol w:w="561"/>
        <w:gridCol w:w="819"/>
        <w:gridCol w:w="480"/>
        <w:gridCol w:w="1007"/>
      </w:tblGrid>
      <w:tr>
        <w:tblPrEx>
          <w:tblCellMar>
            <w:top w:w="0" w:type="dxa"/>
            <w:left w:w="0" w:type="dxa"/>
            <w:bottom w:w="0" w:type="dxa"/>
            <w:right w:w="0" w:type="dxa"/>
          </w:tblCellMar>
        </w:tblPrEx>
        <w:trPr>
          <w:trHeight w:val="450" w:hRule="atLeast"/>
        </w:trPr>
        <w:tc>
          <w:tcPr>
            <w:tcW w:w="8965" w:type="dxa"/>
            <w:gridSpan w:val="14"/>
            <w:tcBorders>
              <w:top w:val="nil"/>
              <w:left w:val="nil"/>
              <w:bottom w:val="nil"/>
              <w:right w:val="nil"/>
            </w:tcBorders>
            <w:shd w:val="clear" w:color="auto" w:fill="FFFFFF"/>
            <w:noWrap/>
            <w:tcMar>
              <w:top w:w="0" w:type="dxa"/>
              <w:left w:w="105" w:type="dxa"/>
              <w:bottom w:w="0" w:type="dxa"/>
              <w:right w:w="105" w:type="dxa"/>
            </w:tcMar>
            <w:vAlign w:val="center"/>
          </w:tcPr>
          <w:p>
            <w:pPr>
              <w:wordWrap w:val="0"/>
              <w:spacing w:line="315" w:lineRule="atLeast"/>
              <w:jc w:val="center"/>
              <w:rPr>
                <w:rFonts w:ascii="微软雅黑" w:hAnsi="微软雅黑" w:eastAsia="微软雅黑" w:cs="宋体"/>
                <w:spacing w:val="7"/>
                <w:kern w:val="0"/>
                <w:sz w:val="28"/>
                <w:szCs w:val="28"/>
              </w:rPr>
            </w:pPr>
            <w:r>
              <w:rPr>
                <w:rFonts w:hint="eastAsia" w:ascii="方正小标宋简体" w:hAnsi="方正小标宋简体" w:eastAsia="方正小标宋简体" w:cs="方正小标宋简体"/>
                <w:spacing w:val="7"/>
                <w:szCs w:val="21"/>
              </w:rPr>
              <w:t>景宁县项目支出绩效自评表</w:t>
            </w:r>
          </w:p>
        </w:tc>
      </w:tr>
      <w:tr>
        <w:tblPrEx>
          <w:tblCellMar>
            <w:top w:w="0" w:type="dxa"/>
            <w:left w:w="0" w:type="dxa"/>
            <w:bottom w:w="0" w:type="dxa"/>
            <w:right w:w="0" w:type="dxa"/>
          </w:tblCellMar>
        </w:tblPrEx>
        <w:trPr>
          <w:trHeight w:val="267" w:hRule="atLeast"/>
        </w:trPr>
        <w:tc>
          <w:tcPr>
            <w:tcW w:w="8965" w:type="dxa"/>
            <w:gridSpan w:val="14"/>
            <w:tcBorders>
              <w:top w:val="nil"/>
              <w:left w:val="nil"/>
              <w:bottom w:val="nil"/>
              <w:right w:val="nil"/>
            </w:tcBorders>
            <w:shd w:val="clear" w:color="auto" w:fill="FFFFFF"/>
            <w:noWrap/>
            <w:tcMar>
              <w:top w:w="0" w:type="dxa"/>
              <w:left w:w="105" w:type="dxa"/>
              <w:bottom w:w="0" w:type="dxa"/>
              <w:right w:w="105" w:type="dxa"/>
            </w:tcMar>
          </w:tcPr>
          <w:p>
            <w:pPr>
              <w:wordWrap w:val="0"/>
              <w:spacing w:line="195" w:lineRule="atLeast"/>
              <w:jc w:val="center"/>
              <w:rPr>
                <w:rFonts w:ascii="宋体" w:hAnsi="宋体" w:cs="宋体"/>
                <w:spacing w:val="7"/>
                <w:kern w:val="0"/>
                <w:sz w:val="18"/>
                <w:szCs w:val="18"/>
              </w:rPr>
            </w:pPr>
            <w:r>
              <w:rPr>
                <w:rFonts w:hint="eastAsia" w:ascii="宋体" w:hAnsi="宋体" w:cs="宋体"/>
                <w:spacing w:val="7"/>
                <w:sz w:val="18"/>
                <w:szCs w:val="18"/>
              </w:rPr>
              <w:t>（2020年度）</w:t>
            </w:r>
          </w:p>
        </w:tc>
      </w:tr>
      <w:tr>
        <w:tblPrEx>
          <w:tblCellMar>
            <w:top w:w="0" w:type="dxa"/>
            <w:left w:w="0" w:type="dxa"/>
            <w:bottom w:w="0" w:type="dxa"/>
            <w:right w:w="0" w:type="dxa"/>
          </w:tblCellMar>
        </w:tblPrEx>
        <w:trPr>
          <w:trHeight w:val="274" w:hRule="atLeast"/>
        </w:trPr>
        <w:tc>
          <w:tcPr>
            <w:tcW w:w="1063" w:type="dxa"/>
            <w:gridSpan w:val="2"/>
            <w:tcBorders>
              <w:top w:val="single" w:color="auto" w:sz="6" w:space="0"/>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项目名称</w:t>
            </w:r>
          </w:p>
        </w:tc>
        <w:tc>
          <w:tcPr>
            <w:tcW w:w="7902" w:type="dxa"/>
            <w:gridSpan w:val="12"/>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eastAsia="仿宋_GB2312"/>
                <w:sz w:val="18"/>
                <w:szCs w:val="18"/>
              </w:rPr>
              <w:t>劳动保障工作经费</w:t>
            </w:r>
          </w:p>
        </w:tc>
      </w:tr>
      <w:tr>
        <w:tblPrEx>
          <w:tblCellMar>
            <w:top w:w="0" w:type="dxa"/>
            <w:left w:w="0" w:type="dxa"/>
            <w:bottom w:w="0" w:type="dxa"/>
            <w:right w:w="0" w:type="dxa"/>
          </w:tblCellMar>
        </w:tblPrEx>
        <w:trPr>
          <w:trHeight w:val="300" w:hRule="atLeast"/>
        </w:trPr>
        <w:tc>
          <w:tcPr>
            <w:tcW w:w="1063" w:type="dxa"/>
            <w:gridSpan w:val="2"/>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主管部门</w:t>
            </w:r>
          </w:p>
        </w:tc>
        <w:tc>
          <w:tcPr>
            <w:tcW w:w="3323"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315"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景宁畲族自治县人力资源和社会保障局</w:t>
            </w:r>
          </w:p>
        </w:tc>
        <w:tc>
          <w:tcPr>
            <w:tcW w:w="91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实施单位</w:t>
            </w:r>
          </w:p>
        </w:tc>
        <w:tc>
          <w:tcPr>
            <w:tcW w:w="3668" w:type="dxa"/>
            <w:gridSpan w:val="6"/>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景宁畲族自治县人力资源和社会保障局</w:t>
            </w:r>
          </w:p>
        </w:tc>
      </w:tr>
      <w:tr>
        <w:tblPrEx>
          <w:tblCellMar>
            <w:top w:w="0" w:type="dxa"/>
            <w:left w:w="0" w:type="dxa"/>
            <w:bottom w:w="0" w:type="dxa"/>
            <w:right w:w="0" w:type="dxa"/>
          </w:tblCellMar>
        </w:tblPrEx>
        <w:trPr>
          <w:trHeight w:val="451" w:hRule="atLeast"/>
        </w:trPr>
        <w:tc>
          <w:tcPr>
            <w:tcW w:w="1063" w:type="dxa"/>
            <w:gridSpan w:val="2"/>
            <w:vMerge w:val="restart"/>
            <w:tcBorders>
              <w:top w:val="nil"/>
              <w:left w:val="single" w:color="auto" w:sz="6" w:space="0"/>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项目资金（万元）</w:t>
            </w:r>
          </w:p>
        </w:tc>
        <w:tc>
          <w:tcPr>
            <w:tcW w:w="2100"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223"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年初预算数</w:t>
            </w:r>
          </w:p>
        </w:tc>
        <w:tc>
          <w:tcPr>
            <w:tcW w:w="91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全年预算数</w:t>
            </w:r>
          </w:p>
        </w:tc>
        <w:tc>
          <w:tcPr>
            <w:tcW w:w="2661" w:type="dxa"/>
            <w:gridSpan w:val="5"/>
            <w:tcBorders>
              <w:top w:val="single" w:color="auto" w:sz="6" w:space="0"/>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全年执行数</w:t>
            </w: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执行率</w:t>
            </w:r>
          </w:p>
        </w:tc>
      </w:tr>
      <w:tr>
        <w:tblPrEx>
          <w:tblCellMar>
            <w:top w:w="0" w:type="dxa"/>
            <w:left w:w="0" w:type="dxa"/>
            <w:bottom w:w="0" w:type="dxa"/>
            <w:right w:w="0" w:type="dxa"/>
          </w:tblCellMar>
        </w:tblPrEx>
        <w:trPr>
          <w:trHeight w:val="300"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100"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年度资金总额</w:t>
            </w:r>
          </w:p>
        </w:tc>
        <w:tc>
          <w:tcPr>
            <w:tcW w:w="1223"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24.00</w:t>
            </w:r>
          </w:p>
        </w:tc>
        <w:tc>
          <w:tcPr>
            <w:tcW w:w="91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22.36</w:t>
            </w:r>
          </w:p>
        </w:tc>
        <w:tc>
          <w:tcPr>
            <w:tcW w:w="266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21.98</w:t>
            </w: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98.30</w:t>
            </w:r>
            <w:r>
              <w:rPr>
                <w:rFonts w:ascii="仿宋_GB2312" w:hAnsi="仿宋_GB2312" w:eastAsia="仿宋_GB2312" w:cs="仿宋_GB2312"/>
                <w:spacing w:val="7"/>
                <w:sz w:val="18"/>
                <w:szCs w:val="18"/>
              </w:rPr>
              <w:t>%</w:t>
            </w:r>
          </w:p>
        </w:tc>
      </w:tr>
      <w:tr>
        <w:tblPrEx>
          <w:tblCellMar>
            <w:top w:w="0" w:type="dxa"/>
            <w:left w:w="0" w:type="dxa"/>
            <w:bottom w:w="0" w:type="dxa"/>
            <w:right w:w="0" w:type="dxa"/>
          </w:tblCellMar>
        </w:tblPrEx>
        <w:trPr>
          <w:trHeight w:val="315"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100"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其中：当年财政拨款</w:t>
            </w:r>
          </w:p>
        </w:tc>
        <w:tc>
          <w:tcPr>
            <w:tcW w:w="1223"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24.00</w:t>
            </w:r>
          </w:p>
        </w:tc>
        <w:tc>
          <w:tcPr>
            <w:tcW w:w="91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22.36</w:t>
            </w:r>
          </w:p>
        </w:tc>
        <w:tc>
          <w:tcPr>
            <w:tcW w:w="266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21.98</w:t>
            </w: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98.30</w:t>
            </w:r>
            <w:r>
              <w:rPr>
                <w:rFonts w:ascii="仿宋_GB2312" w:hAnsi="仿宋_GB2312" w:eastAsia="仿宋_GB2312" w:cs="仿宋_GB2312"/>
                <w:spacing w:val="7"/>
                <w:sz w:val="18"/>
                <w:szCs w:val="18"/>
              </w:rPr>
              <w:t>%</w:t>
            </w:r>
          </w:p>
        </w:tc>
      </w:tr>
      <w:tr>
        <w:tblPrEx>
          <w:tblCellMar>
            <w:top w:w="0" w:type="dxa"/>
            <w:left w:w="0" w:type="dxa"/>
            <w:bottom w:w="0" w:type="dxa"/>
            <w:right w:w="0" w:type="dxa"/>
          </w:tblCellMar>
        </w:tblPrEx>
        <w:trPr>
          <w:trHeight w:val="300"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100"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      上年结转资金</w:t>
            </w:r>
          </w:p>
        </w:tc>
        <w:tc>
          <w:tcPr>
            <w:tcW w:w="1223"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91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266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96"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2100" w:type="dxa"/>
            <w:gridSpan w:val="4"/>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  其他资金</w:t>
            </w:r>
          </w:p>
        </w:tc>
        <w:tc>
          <w:tcPr>
            <w:tcW w:w="1223"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911"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2661"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007"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96" w:hRule="atLeast"/>
        </w:trPr>
        <w:tc>
          <w:tcPr>
            <w:tcW w:w="1063" w:type="dxa"/>
            <w:gridSpan w:val="2"/>
            <w:vMerge w:val="restart"/>
            <w:tcBorders>
              <w:top w:val="nil"/>
              <w:left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年度总体目标</w:t>
            </w:r>
          </w:p>
        </w:tc>
        <w:tc>
          <w:tcPr>
            <w:tcW w:w="3323"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预期目标</w:t>
            </w:r>
          </w:p>
        </w:tc>
        <w:tc>
          <w:tcPr>
            <w:tcW w:w="4579" w:type="dxa"/>
            <w:gridSpan w:val="7"/>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实际完成情况</w:t>
            </w:r>
          </w:p>
        </w:tc>
      </w:tr>
      <w:tr>
        <w:tblPrEx>
          <w:tblCellMar>
            <w:top w:w="0" w:type="dxa"/>
            <w:left w:w="0" w:type="dxa"/>
            <w:bottom w:w="0" w:type="dxa"/>
            <w:right w:w="0" w:type="dxa"/>
          </w:tblCellMar>
        </w:tblPrEx>
        <w:trPr>
          <w:trHeight w:val="374" w:hRule="atLeast"/>
        </w:trPr>
        <w:tc>
          <w:tcPr>
            <w:tcW w:w="1063" w:type="dxa"/>
            <w:gridSpan w:val="2"/>
            <w:vMerge w:val="continue"/>
            <w:tcBorders>
              <w:top w:val="nil"/>
              <w:left w:val="single" w:color="auto" w:sz="6" w:space="0"/>
              <w:bottom w:val="single" w:color="auto" w:sz="6" w:space="0"/>
              <w:right w:val="single" w:color="auto" w:sz="6"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3323" w:type="dxa"/>
            <w:gridSpan w:val="5"/>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22.36万元</w:t>
            </w:r>
          </w:p>
        </w:tc>
        <w:tc>
          <w:tcPr>
            <w:tcW w:w="4579" w:type="dxa"/>
            <w:gridSpan w:val="7"/>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21.98万元</w:t>
            </w:r>
          </w:p>
        </w:tc>
      </w:tr>
      <w:tr>
        <w:tblPrEx>
          <w:tblCellMar>
            <w:top w:w="0" w:type="dxa"/>
            <w:left w:w="0" w:type="dxa"/>
            <w:bottom w:w="0" w:type="dxa"/>
            <w:right w:w="0" w:type="dxa"/>
          </w:tblCellMar>
        </w:tblPrEx>
        <w:trPr>
          <w:trHeight w:val="605" w:hRule="atLeast"/>
        </w:trPr>
        <w:tc>
          <w:tcPr>
            <w:tcW w:w="458" w:type="dxa"/>
            <w:vMerge w:val="restart"/>
            <w:tcBorders>
              <w:top w:val="nil"/>
              <w:left w:val="single" w:color="auto" w:sz="6" w:space="0"/>
              <w:bottom w:val="nil"/>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绩效指标</w:t>
            </w:r>
          </w:p>
        </w:tc>
        <w:tc>
          <w:tcPr>
            <w:tcW w:w="605"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一级指标</w:t>
            </w:r>
          </w:p>
        </w:tc>
        <w:tc>
          <w:tcPr>
            <w:tcW w:w="715"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二级指标</w:t>
            </w:r>
          </w:p>
        </w:tc>
        <w:tc>
          <w:tcPr>
            <w:tcW w:w="1290" w:type="dxa"/>
            <w:gridSpan w:val="2"/>
            <w:tcBorders>
              <w:top w:val="single" w:color="auto" w:sz="6" w:space="0"/>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三级指标</w:t>
            </w:r>
          </w:p>
        </w:tc>
        <w:tc>
          <w:tcPr>
            <w:tcW w:w="1318"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年度</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指标值</w:t>
            </w:r>
          </w:p>
        </w:tc>
        <w:tc>
          <w:tcPr>
            <w:tcW w:w="1258"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实际</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完成值</w:t>
            </w:r>
          </w:p>
        </w:tc>
        <w:tc>
          <w:tcPr>
            <w:tcW w:w="1015" w:type="dxa"/>
            <w:gridSpan w:val="2"/>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权重</w:t>
            </w:r>
          </w:p>
        </w:tc>
        <w:tc>
          <w:tcPr>
            <w:tcW w:w="819" w:type="dxa"/>
            <w:tcBorders>
              <w:top w:val="nil"/>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得分</w:t>
            </w:r>
          </w:p>
        </w:tc>
        <w:tc>
          <w:tcPr>
            <w:tcW w:w="1487" w:type="dxa"/>
            <w:gridSpan w:val="2"/>
            <w:tcBorders>
              <w:top w:val="single" w:color="auto" w:sz="6" w:space="0"/>
              <w:left w:val="nil"/>
              <w:bottom w:val="single" w:color="auto" w:sz="4" w:space="0"/>
              <w:right w:val="single" w:color="auto" w:sz="6"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偏差原因分析及改进措施</w:t>
            </w:r>
          </w:p>
        </w:tc>
      </w:tr>
      <w:tr>
        <w:tblPrEx>
          <w:tblCellMar>
            <w:top w:w="0" w:type="dxa"/>
            <w:left w:w="0" w:type="dxa"/>
            <w:bottom w:w="0" w:type="dxa"/>
            <w:right w:w="0" w:type="dxa"/>
          </w:tblCellMar>
        </w:tblPrEx>
        <w:trPr>
          <w:trHeight w:val="449"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产出指标</w:t>
            </w: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数量</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劳动人事争议案件</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63件</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63件</w:t>
            </w: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质量</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195"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时效</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成本</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项目成本控制在预算内</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22.36万元</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sz w:val="18"/>
                <w:szCs w:val="18"/>
              </w:rPr>
            </w:pPr>
            <w:r>
              <w:rPr>
                <w:rFonts w:hint="eastAsia" w:ascii="仿宋_GB2312" w:hAnsi="仿宋_GB2312" w:eastAsia="仿宋_GB2312" w:cs="仿宋_GB2312"/>
                <w:spacing w:val="7"/>
                <w:sz w:val="18"/>
                <w:szCs w:val="18"/>
              </w:rPr>
              <w:t>21.98</w:t>
            </w:r>
          </w:p>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万元</w:t>
            </w: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20</w:t>
            </w: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19</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591"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restart"/>
            <w:tcBorders>
              <w:top w:val="single" w:color="auto" w:sz="4" w:space="0"/>
              <w:left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效益指标</w:t>
            </w: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经济效益指标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社会效益指标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构建和谐劳动关系</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构建和谐</w:t>
            </w:r>
          </w:p>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劳动关系</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有所</w:t>
            </w:r>
          </w:p>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促进</w:t>
            </w: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25</w:t>
            </w: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23</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确保工伤基金安全，维护工伤职工的合法权益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确保工伤基金安全，维护工伤职工的合法权益</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完成</w:t>
            </w: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25</w:t>
            </w: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25</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生态效益指标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516" w:hRule="atLeast"/>
        </w:trPr>
        <w:tc>
          <w:tcPr>
            <w:tcW w:w="458" w:type="dxa"/>
            <w:vMerge w:val="restart"/>
            <w:tcBorders>
              <w:top w:val="nil"/>
              <w:left w:val="single" w:color="auto" w:sz="6"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left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可持续影响指标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此项不涉及</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91"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486"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满意度</w:t>
            </w:r>
          </w:p>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指标</w:t>
            </w:r>
          </w:p>
        </w:tc>
        <w:tc>
          <w:tcPr>
            <w:tcW w:w="715" w:type="dxa"/>
            <w:vMerge w:val="restart"/>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服务对象满意度指标</w:t>
            </w: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服务对象满意度</w:t>
            </w: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sz w:val="18"/>
                <w:szCs w:val="18"/>
              </w:rPr>
              <w:t>≥100.00%</w:t>
            </w: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90%</w:t>
            </w: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20</w:t>
            </w: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18</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31"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458" w:type="dxa"/>
            <w:vMerge w:val="continue"/>
            <w:tcBorders>
              <w:top w:val="nil"/>
              <w:left w:val="single" w:color="auto" w:sz="6" w:space="0"/>
              <w:bottom w:val="nil"/>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60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715" w:type="dxa"/>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jc w:val="left"/>
              <w:rPr>
                <w:rFonts w:ascii="仿宋_GB2312" w:hAnsi="仿宋_GB2312" w:eastAsia="仿宋_GB2312" w:cs="仿宋_GB2312"/>
                <w:spacing w:val="7"/>
                <w:kern w:val="0"/>
                <w:sz w:val="18"/>
                <w:szCs w:val="18"/>
              </w:rPr>
            </w:pPr>
          </w:p>
        </w:tc>
        <w:tc>
          <w:tcPr>
            <w:tcW w:w="1290"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rPr>
                <w:rFonts w:ascii="仿宋_GB2312" w:hAnsi="仿宋_GB2312" w:eastAsia="仿宋_GB2312" w:cs="仿宋_GB2312"/>
                <w:spacing w:val="7"/>
                <w:kern w:val="0"/>
                <w:sz w:val="18"/>
                <w:szCs w:val="18"/>
              </w:rPr>
            </w:pPr>
          </w:p>
        </w:tc>
        <w:tc>
          <w:tcPr>
            <w:tcW w:w="1318"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1712" w:type="dxa"/>
            <w:gridSpan w:val="3"/>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541" w:hRule="atLeast"/>
        </w:trPr>
        <w:tc>
          <w:tcPr>
            <w:tcW w:w="6098" w:type="dxa"/>
            <w:gridSpan w:val="10"/>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总分</w:t>
            </w:r>
          </w:p>
        </w:tc>
        <w:tc>
          <w:tcPr>
            <w:tcW w:w="561"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100</w:t>
            </w:r>
          </w:p>
        </w:tc>
        <w:tc>
          <w:tcPr>
            <w:tcW w:w="819" w:type="dxa"/>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95</w:t>
            </w:r>
          </w:p>
        </w:tc>
        <w:tc>
          <w:tcPr>
            <w:tcW w:w="1487" w:type="dxa"/>
            <w:gridSpan w:val="2"/>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p>
        </w:tc>
      </w:tr>
      <w:tr>
        <w:tblPrEx>
          <w:tblCellMar>
            <w:top w:w="0" w:type="dxa"/>
            <w:left w:w="0" w:type="dxa"/>
            <w:bottom w:w="0" w:type="dxa"/>
            <w:right w:w="0" w:type="dxa"/>
          </w:tblCellMar>
        </w:tblPrEx>
        <w:trPr>
          <w:trHeight w:val="300" w:hRule="atLeast"/>
        </w:trPr>
        <w:tc>
          <w:tcPr>
            <w:tcW w:w="1835" w:type="dxa"/>
            <w:gridSpan w:val="4"/>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spacing w:val="7"/>
                <w:kern w:val="0"/>
                <w:sz w:val="18"/>
                <w:szCs w:val="18"/>
              </w:rPr>
              <w:t>自评结论</w:t>
            </w:r>
          </w:p>
        </w:tc>
        <w:tc>
          <w:tcPr>
            <w:tcW w:w="4263" w:type="dxa"/>
            <w:gridSpan w:val="6"/>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spacing w:line="240" w:lineRule="atLeast"/>
              <w:jc w:val="center"/>
              <w:rPr>
                <w:rFonts w:ascii="仿宋_GB2312" w:hAnsi="仿宋_GB2312" w:eastAsia="仿宋_GB2312" w:cs="仿宋_GB2312"/>
                <w:spacing w:val="7"/>
                <w:kern w:val="0"/>
                <w:sz w:val="18"/>
                <w:szCs w:val="18"/>
              </w:rPr>
            </w:pPr>
            <w:r>
              <w:rPr>
                <w:rFonts w:hint="eastAsia" w:ascii="仿宋_GB2312" w:hAnsi="仿宋_GB2312" w:eastAsia="仿宋_GB2312" w:cs="仿宋_GB2312"/>
                <w:color w:val="000000"/>
                <w:kern w:val="0"/>
                <w:sz w:val="18"/>
                <w:szCs w:val="18"/>
              </w:rPr>
              <w:t>优</w:t>
            </w:r>
            <w:r>
              <w:rPr>
                <w:rFonts w:hint="eastAsia" w:ascii="仿宋_GB2312" w:hAnsi="仿宋_GB2312" w:eastAsia="仿宋_GB2312" w:cs="仿宋_GB2312"/>
                <w:color w:val="000000"/>
                <w:kern w:val="0"/>
                <w:sz w:val="18"/>
                <w:szCs w:val="18"/>
              </w:rPr>
              <w:sym w:font="Wingdings 2" w:char="0052"/>
            </w:r>
            <w:r>
              <w:rPr>
                <w:rFonts w:hint="eastAsia" w:ascii="仿宋_GB2312" w:hAnsi="仿宋_GB2312" w:eastAsia="仿宋_GB2312" w:cs="仿宋_GB2312"/>
                <w:color w:val="000000"/>
                <w:kern w:val="0"/>
                <w:sz w:val="18"/>
                <w:szCs w:val="18"/>
              </w:rPr>
              <w:t xml:space="preserve">      良□      中□    差□</w:t>
            </w:r>
          </w:p>
        </w:tc>
        <w:tc>
          <w:tcPr>
            <w:tcW w:w="2867" w:type="dxa"/>
            <w:gridSpan w:val="4"/>
            <w:tcBorders>
              <w:top w:val="single" w:color="auto" w:sz="4" w:space="0"/>
              <w:left w:val="single" w:color="auto" w:sz="4" w:space="0"/>
              <w:bottom w:val="single" w:color="auto" w:sz="4" w:space="0"/>
              <w:right w:val="single" w:color="auto" w:sz="4" w:space="0"/>
            </w:tcBorders>
            <w:shd w:val="clear" w:color="auto" w:fill="FFFFFF"/>
            <w:noWrap/>
            <w:tcMar>
              <w:top w:w="0" w:type="dxa"/>
              <w:left w:w="105" w:type="dxa"/>
              <w:bottom w:w="0" w:type="dxa"/>
              <w:right w:w="105" w:type="dxa"/>
            </w:tcMar>
            <w:vAlign w:val="center"/>
          </w:tcPr>
          <w:p>
            <w:pPr>
              <w:wordWrap w:val="0"/>
              <w:rPr>
                <w:rFonts w:ascii="仿宋_GB2312" w:hAnsi="仿宋_GB2312" w:eastAsia="仿宋_GB2312" w:cs="仿宋_GB2312"/>
                <w:spacing w:val="7"/>
                <w:kern w:val="0"/>
                <w:sz w:val="18"/>
                <w:szCs w:val="18"/>
              </w:rPr>
            </w:pPr>
            <w:r>
              <w:rPr>
                <w:rFonts w:hint="eastAsia" w:ascii="仿宋_GB2312" w:hAnsi="仿宋_GB2312" w:eastAsia="仿宋_GB2312" w:cs="仿宋_GB2312"/>
                <w:color w:val="000000"/>
                <w:kern w:val="0"/>
                <w:sz w:val="18"/>
                <w:szCs w:val="18"/>
              </w:rPr>
              <w:t>总分高于90分（含）的结论为“优”，90～80分（含）为“良”，80～60分（含）为“中”，低于60分为“差”。</w:t>
            </w:r>
          </w:p>
        </w:tc>
      </w:tr>
    </w:tbl>
    <w:p>
      <w:pPr>
        <w:ind w:firstLine="640" w:firstLineChars="200"/>
        <w:rPr>
          <w:sz w:val="32"/>
          <w:szCs w:val="32"/>
        </w:rPr>
      </w:pPr>
    </w:p>
    <w:p>
      <w:pPr>
        <w:ind w:firstLine="640" w:firstLineChars="200"/>
        <w:rPr>
          <w:sz w:val="32"/>
          <w:szCs w:val="32"/>
        </w:rPr>
      </w:pPr>
      <w:r>
        <w:rPr>
          <w:rFonts w:hint="eastAsia"/>
          <w:sz w:val="32"/>
          <w:szCs w:val="32"/>
        </w:rPr>
        <w:t>3.财政评价项目绩效评价结果：无。</w:t>
      </w:r>
    </w:p>
    <w:p>
      <w:pPr>
        <w:ind w:firstLine="640" w:firstLineChars="200"/>
        <w:rPr>
          <w:sz w:val="32"/>
          <w:szCs w:val="32"/>
        </w:rPr>
      </w:pPr>
      <w:r>
        <w:rPr>
          <w:rFonts w:hint="eastAsia"/>
          <w:sz w:val="32"/>
          <w:szCs w:val="32"/>
        </w:rPr>
        <w:t>4.部门评价项目绩效评价结果：无。</w:t>
      </w:r>
    </w:p>
    <w:p>
      <w:pPr>
        <w:ind w:firstLine="640" w:firstLineChars="200"/>
        <w:rPr>
          <w:sz w:val="32"/>
          <w:szCs w:val="32"/>
        </w:rPr>
      </w:pPr>
      <w:r>
        <w:rPr>
          <w:rFonts w:hint="eastAsia"/>
          <w:sz w:val="32"/>
          <w:szCs w:val="32"/>
        </w:rPr>
        <w:t>四、名词解释</w:t>
      </w:r>
    </w:p>
    <w:p>
      <w:pPr>
        <w:ind w:firstLine="640" w:firstLineChars="200"/>
        <w:rPr>
          <w:sz w:val="32"/>
          <w:szCs w:val="32"/>
          <w:lang w:val="zh-CN"/>
        </w:rPr>
      </w:pPr>
      <w:r>
        <w:rPr>
          <w:rFonts w:hint="eastAsia"/>
          <w:sz w:val="32"/>
          <w:szCs w:val="32"/>
          <w:lang w:val="zh-CN"/>
        </w:rPr>
        <w:t>1.财政拨款收入：指本级财政部门当年拨付的财政预算资金，包括一般公共预算财政拨款、政府性基金预算财政拨款和国有资本经预算财政拨款。</w:t>
      </w:r>
    </w:p>
    <w:p>
      <w:pPr>
        <w:ind w:firstLine="640" w:firstLineChars="200"/>
        <w:rPr>
          <w:sz w:val="32"/>
          <w:szCs w:val="32"/>
        </w:rPr>
      </w:pPr>
      <w:r>
        <w:rPr>
          <w:rFonts w:hint="eastAsia"/>
          <w:sz w:val="32"/>
          <w:szCs w:val="32"/>
          <w:lang w:val="zh-CN"/>
        </w:rPr>
        <w:t>2.事业收入：指事业单位开展专业业务活动及辅助活动所取得的收入。</w:t>
      </w:r>
    </w:p>
    <w:p>
      <w:pPr>
        <w:ind w:firstLine="640" w:firstLineChars="200"/>
        <w:rPr>
          <w:sz w:val="32"/>
          <w:szCs w:val="32"/>
        </w:rPr>
      </w:pPr>
      <w:r>
        <w:rPr>
          <w:rFonts w:hint="eastAsia"/>
          <w:sz w:val="32"/>
          <w:szCs w:val="32"/>
        </w:rPr>
        <w:t>3.经营收入：指事业单位在专业业务活动及辅助活动之外开展非独立核算经营活动取得的收入。</w:t>
      </w:r>
    </w:p>
    <w:p>
      <w:pPr>
        <w:ind w:firstLine="640" w:firstLineChars="200"/>
        <w:rPr>
          <w:sz w:val="32"/>
          <w:szCs w:val="32"/>
        </w:rPr>
      </w:pPr>
      <w:r>
        <w:rPr>
          <w:rFonts w:hint="eastAsia"/>
          <w:sz w:val="32"/>
          <w:szCs w:val="32"/>
        </w:rPr>
        <w:t>4.上级补助收入：指事业单位从主管部门和上级单位取得的非财政补助收入。</w:t>
      </w:r>
    </w:p>
    <w:p>
      <w:pPr>
        <w:ind w:firstLine="640" w:firstLineChars="200"/>
        <w:rPr>
          <w:sz w:val="32"/>
          <w:szCs w:val="32"/>
        </w:rPr>
      </w:pPr>
      <w:r>
        <w:rPr>
          <w:rFonts w:hint="eastAsia"/>
          <w:sz w:val="32"/>
          <w:szCs w:val="32"/>
        </w:rPr>
        <w:t>5.附属单位上缴收入：指事业单位附属独立核算单位按照有关规定上缴的收入。</w:t>
      </w:r>
    </w:p>
    <w:p>
      <w:pPr>
        <w:ind w:firstLine="640" w:firstLineChars="200"/>
        <w:rPr>
          <w:sz w:val="32"/>
          <w:szCs w:val="32"/>
        </w:rPr>
      </w:pPr>
      <w:r>
        <w:rPr>
          <w:rFonts w:hint="eastAsia"/>
          <w:sz w:val="32"/>
          <w:szCs w:val="32"/>
        </w:rPr>
        <w:t>6.其他收入：指预算单位在</w:t>
      </w:r>
      <w:r>
        <w:rPr>
          <w:sz w:val="32"/>
          <w:szCs w:val="32"/>
        </w:rPr>
        <w:t>“</w:t>
      </w:r>
      <w:r>
        <w:rPr>
          <w:rFonts w:hint="eastAsia"/>
          <w:sz w:val="32"/>
          <w:szCs w:val="32"/>
        </w:rPr>
        <w:t>财政拨款</w:t>
      </w:r>
      <w:r>
        <w:rPr>
          <w:sz w:val="32"/>
          <w:szCs w:val="32"/>
        </w:rPr>
        <w:t>”</w:t>
      </w:r>
      <w:r>
        <w:rPr>
          <w:rFonts w:hint="eastAsia"/>
          <w:sz w:val="32"/>
          <w:szCs w:val="32"/>
        </w:rPr>
        <w:t>、</w:t>
      </w:r>
      <w:r>
        <w:rPr>
          <w:sz w:val="32"/>
          <w:szCs w:val="32"/>
        </w:rPr>
        <w:t>“</w:t>
      </w:r>
      <w:r>
        <w:rPr>
          <w:rFonts w:hint="eastAsia"/>
          <w:sz w:val="32"/>
          <w:szCs w:val="32"/>
        </w:rPr>
        <w:t>事业收入</w:t>
      </w:r>
      <w:r>
        <w:rPr>
          <w:sz w:val="32"/>
          <w:szCs w:val="32"/>
        </w:rPr>
        <w:t>”</w:t>
      </w:r>
      <w:r>
        <w:rPr>
          <w:rFonts w:hint="eastAsia"/>
          <w:sz w:val="32"/>
          <w:szCs w:val="32"/>
        </w:rPr>
        <w:t>、</w:t>
      </w:r>
      <w:r>
        <w:rPr>
          <w:sz w:val="32"/>
          <w:szCs w:val="32"/>
        </w:rPr>
        <w:t>“</w:t>
      </w:r>
      <w:r>
        <w:rPr>
          <w:rFonts w:hint="eastAsia"/>
          <w:sz w:val="32"/>
          <w:szCs w:val="32"/>
        </w:rPr>
        <w:t>经营收入</w:t>
      </w:r>
      <w:r>
        <w:rPr>
          <w:sz w:val="32"/>
          <w:szCs w:val="32"/>
        </w:rPr>
        <w:t>”</w:t>
      </w:r>
      <w:r>
        <w:rPr>
          <w:rFonts w:hint="eastAsia"/>
          <w:sz w:val="32"/>
          <w:szCs w:val="32"/>
        </w:rPr>
        <w:t>、</w:t>
      </w:r>
      <w:r>
        <w:rPr>
          <w:sz w:val="32"/>
          <w:szCs w:val="32"/>
        </w:rPr>
        <w:t>“</w:t>
      </w:r>
      <w:r>
        <w:rPr>
          <w:rFonts w:hint="eastAsia"/>
          <w:sz w:val="32"/>
          <w:szCs w:val="32"/>
        </w:rPr>
        <w:t>上级补助收入</w:t>
      </w:r>
      <w:r>
        <w:rPr>
          <w:sz w:val="32"/>
          <w:szCs w:val="32"/>
        </w:rPr>
        <w:t>”</w:t>
      </w:r>
      <w:r>
        <w:rPr>
          <w:rFonts w:hint="eastAsia"/>
          <w:sz w:val="32"/>
          <w:szCs w:val="32"/>
        </w:rPr>
        <w:t>、</w:t>
      </w:r>
      <w:r>
        <w:rPr>
          <w:sz w:val="32"/>
          <w:szCs w:val="32"/>
        </w:rPr>
        <w:t>“</w:t>
      </w:r>
      <w:r>
        <w:rPr>
          <w:rFonts w:hint="eastAsia"/>
          <w:sz w:val="32"/>
          <w:szCs w:val="32"/>
        </w:rPr>
        <w:t>附属单位上缴收入</w:t>
      </w:r>
      <w:r>
        <w:rPr>
          <w:sz w:val="32"/>
          <w:szCs w:val="32"/>
        </w:rPr>
        <w:t>”</w:t>
      </w:r>
      <w:r>
        <w:rPr>
          <w:rFonts w:hint="eastAsia"/>
          <w:sz w:val="32"/>
          <w:szCs w:val="32"/>
        </w:rPr>
        <w:t>等之外取得的各项收入。</w:t>
      </w:r>
    </w:p>
    <w:p>
      <w:pPr>
        <w:ind w:firstLine="640" w:firstLineChars="200"/>
        <w:rPr>
          <w:sz w:val="32"/>
          <w:szCs w:val="32"/>
        </w:rPr>
      </w:pPr>
      <w:r>
        <w:rPr>
          <w:rFonts w:hint="eastAsia"/>
          <w:sz w:val="32"/>
          <w:szCs w:val="32"/>
        </w:rPr>
        <w:t>7.使用非财政拨款结余：指事业单位使用以前年度积累的非财政拨款结余弥补当年收支差额的金额。</w:t>
      </w:r>
    </w:p>
    <w:p>
      <w:pPr>
        <w:ind w:firstLine="640" w:firstLineChars="200"/>
        <w:rPr>
          <w:sz w:val="32"/>
          <w:szCs w:val="32"/>
        </w:rPr>
      </w:pPr>
      <w:r>
        <w:rPr>
          <w:rFonts w:hint="eastAsia"/>
          <w:sz w:val="32"/>
          <w:szCs w:val="32"/>
        </w:rPr>
        <w:t>8.年初结转和结余：指预算单位以前年度尚未完成、结转到本年仍按原规定用途继续使用的资金。</w:t>
      </w:r>
    </w:p>
    <w:p>
      <w:pPr>
        <w:ind w:firstLine="640" w:firstLineChars="200"/>
        <w:rPr>
          <w:sz w:val="32"/>
          <w:szCs w:val="32"/>
        </w:rPr>
      </w:pPr>
      <w:r>
        <w:rPr>
          <w:rFonts w:hint="eastAsia"/>
          <w:sz w:val="32"/>
          <w:szCs w:val="32"/>
        </w:rPr>
        <w:t>9.年末结转和结余：指单位按有关规定结转到下年或以后年度继续使用的资金。</w:t>
      </w:r>
    </w:p>
    <w:p>
      <w:pPr>
        <w:ind w:firstLine="640" w:firstLineChars="200"/>
        <w:rPr>
          <w:sz w:val="32"/>
          <w:szCs w:val="32"/>
        </w:rPr>
      </w:pPr>
      <w:r>
        <w:rPr>
          <w:rFonts w:hint="eastAsia"/>
          <w:sz w:val="32"/>
          <w:szCs w:val="32"/>
        </w:rPr>
        <w:t>10.基本支出：指预算单位为保障其正常运转，完成日常工作任务所发生的支出，包括人员经费支出和日常公用经费支出。</w:t>
      </w:r>
    </w:p>
    <w:p>
      <w:pPr>
        <w:ind w:firstLine="640" w:firstLineChars="200"/>
        <w:rPr>
          <w:sz w:val="32"/>
          <w:szCs w:val="32"/>
        </w:rPr>
      </w:pPr>
      <w:r>
        <w:rPr>
          <w:rFonts w:hint="eastAsia"/>
          <w:sz w:val="32"/>
          <w:szCs w:val="32"/>
        </w:rPr>
        <w:t>11.项目支出：指预算单位为完成其特定的行政工作任务或事业发展目标所发生的支出。</w:t>
      </w:r>
    </w:p>
    <w:p>
      <w:pPr>
        <w:ind w:firstLine="640" w:firstLineChars="200"/>
        <w:rPr>
          <w:sz w:val="32"/>
          <w:szCs w:val="32"/>
        </w:rPr>
      </w:pPr>
      <w:r>
        <w:rPr>
          <w:rFonts w:hint="eastAsia"/>
          <w:sz w:val="32"/>
          <w:szCs w:val="32"/>
        </w:rPr>
        <w:t>12.上缴上级支出：填列事业单位按照财政部门和主管部门的规定上缴上级单位的支出。</w:t>
      </w:r>
    </w:p>
    <w:p>
      <w:pPr>
        <w:ind w:firstLine="640" w:firstLineChars="200"/>
        <w:rPr>
          <w:sz w:val="32"/>
          <w:szCs w:val="32"/>
        </w:rPr>
      </w:pPr>
      <w:r>
        <w:rPr>
          <w:rFonts w:hint="eastAsia"/>
          <w:sz w:val="32"/>
          <w:szCs w:val="32"/>
        </w:rPr>
        <w:t>13.经营支出：指事业单位在专业业务活动及其辅助活动之外开展非独立核算经营活动发生的支出。</w:t>
      </w:r>
    </w:p>
    <w:p>
      <w:pPr>
        <w:ind w:firstLine="640" w:firstLineChars="200"/>
        <w:rPr>
          <w:sz w:val="32"/>
          <w:szCs w:val="32"/>
        </w:rPr>
      </w:pPr>
      <w:r>
        <w:rPr>
          <w:rFonts w:hint="eastAsia"/>
          <w:sz w:val="32"/>
          <w:szCs w:val="32"/>
        </w:rPr>
        <w:t>14.附属单位补助支出：填列事业单位用财政补助收入之外的收入对附属单位补助发生的支出。</w:t>
      </w:r>
    </w:p>
    <w:p>
      <w:pPr>
        <w:ind w:firstLine="640" w:firstLineChars="200"/>
        <w:rPr>
          <w:sz w:val="32"/>
          <w:szCs w:val="32"/>
        </w:rPr>
      </w:pPr>
      <w:r>
        <w:rPr>
          <w:rFonts w:hint="eastAsia"/>
          <w:sz w:val="32"/>
          <w:szCs w:val="32"/>
        </w:rPr>
        <w:t>15.</w:t>
      </w:r>
      <w:r>
        <w:rPr>
          <w:sz w:val="32"/>
          <w:szCs w:val="32"/>
        </w:rPr>
        <w:t>“</w:t>
      </w:r>
      <w:r>
        <w:rPr>
          <w:rFonts w:hint="eastAsia"/>
          <w:sz w:val="32"/>
          <w:szCs w:val="32"/>
        </w:rPr>
        <w:t>三公</w:t>
      </w:r>
      <w:r>
        <w:rPr>
          <w:sz w:val="32"/>
          <w:szCs w:val="32"/>
        </w:rPr>
        <w:t>”</w:t>
      </w:r>
      <w:r>
        <w:rPr>
          <w:rFonts w:hint="eastAsia"/>
          <w:sz w:val="32"/>
          <w:szCs w:val="32"/>
        </w:rPr>
        <w:t>经费：纳入财政预决算管理的</w:t>
      </w:r>
      <w:r>
        <w:rPr>
          <w:sz w:val="32"/>
          <w:szCs w:val="32"/>
        </w:rPr>
        <w:t>“</w:t>
      </w:r>
      <w:r>
        <w:rPr>
          <w:rFonts w:hint="eastAsia"/>
          <w:sz w:val="32"/>
          <w:szCs w:val="32"/>
        </w:rPr>
        <w:t>三公</w:t>
      </w:r>
      <w:r>
        <w:rPr>
          <w:sz w:val="32"/>
          <w:szCs w:val="32"/>
        </w:rPr>
        <w:t>”</w:t>
      </w:r>
      <w:r>
        <w:rPr>
          <w:rFonts w:hint="eastAsia"/>
          <w:sz w:val="32"/>
          <w:szCs w:val="32"/>
        </w:rPr>
        <w:t>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ind w:firstLine="640" w:firstLineChars="200"/>
        <w:rPr>
          <w:sz w:val="32"/>
          <w:szCs w:val="32"/>
        </w:rPr>
      </w:pPr>
      <w:r>
        <w:rPr>
          <w:rFonts w:hint="eastAsia"/>
          <w:sz w:val="32"/>
          <w:szCs w:val="32"/>
        </w:rPr>
        <w:t>16.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sz w:val="32"/>
          <w:szCs w:val="32"/>
        </w:rPr>
      </w:pPr>
      <w:r>
        <w:rPr>
          <w:rFonts w:hint="eastAsia"/>
          <w:sz w:val="32"/>
          <w:szCs w:val="32"/>
        </w:rPr>
        <w:t>17.一般公共服务支出（类）人力资源事务（款）行政运行（项）：</w:t>
      </w:r>
      <w:r>
        <w:rPr>
          <w:rFonts w:hint="eastAsia" w:ascii="宋体" w:hAnsi="宋体"/>
          <w:sz w:val="32"/>
          <w:szCs w:val="32"/>
        </w:rPr>
        <w:t>主要指行政单位基本支出。</w:t>
      </w:r>
    </w:p>
    <w:p>
      <w:pPr>
        <w:ind w:firstLine="640" w:firstLineChars="200"/>
        <w:rPr>
          <w:sz w:val="32"/>
          <w:szCs w:val="32"/>
        </w:rPr>
      </w:pPr>
      <w:r>
        <w:rPr>
          <w:rFonts w:hint="eastAsia"/>
          <w:sz w:val="32"/>
          <w:szCs w:val="32"/>
        </w:rPr>
        <w:t>18.一般公共服务支出（类）人力资源事务（款）一般行政管理事务（项）：主要指行政单位未单位独设置项级科目的其他项目支出。</w:t>
      </w:r>
    </w:p>
    <w:p>
      <w:pPr>
        <w:ind w:firstLine="640" w:firstLineChars="200"/>
        <w:rPr>
          <w:sz w:val="32"/>
          <w:szCs w:val="32"/>
        </w:rPr>
      </w:pPr>
      <w:r>
        <w:rPr>
          <w:rFonts w:hint="eastAsia"/>
          <w:sz w:val="32"/>
          <w:szCs w:val="32"/>
        </w:rPr>
        <w:t>19.一般公共服务支出（类）人力资源事务（款）事业运行（项）：主要指事业单位基本支出。</w:t>
      </w:r>
    </w:p>
    <w:p>
      <w:pPr>
        <w:ind w:firstLine="640" w:firstLineChars="200"/>
        <w:rPr>
          <w:sz w:val="32"/>
          <w:szCs w:val="32"/>
        </w:rPr>
      </w:pPr>
      <w:r>
        <w:rPr>
          <w:rFonts w:hint="eastAsia"/>
          <w:sz w:val="32"/>
          <w:szCs w:val="32"/>
        </w:rPr>
        <w:t>20.一般公共服务支出（类）人力资源事务（款）引进人才费用（项）：主要指外出引进人才方面的支出。</w:t>
      </w:r>
    </w:p>
    <w:p>
      <w:pPr>
        <w:ind w:firstLine="640" w:firstLineChars="200"/>
        <w:rPr>
          <w:sz w:val="32"/>
          <w:szCs w:val="32"/>
        </w:rPr>
      </w:pPr>
      <w:r>
        <w:rPr>
          <w:rFonts w:hint="eastAsia"/>
          <w:sz w:val="32"/>
          <w:szCs w:val="32"/>
        </w:rPr>
        <w:t>21.一般公共服务支出（类）人力资源事务（款）其他人</w:t>
      </w:r>
    </w:p>
    <w:p>
      <w:pPr>
        <w:rPr>
          <w:sz w:val="32"/>
          <w:szCs w:val="32"/>
        </w:rPr>
      </w:pPr>
      <w:r>
        <w:rPr>
          <w:rFonts w:hint="eastAsia"/>
          <w:sz w:val="32"/>
          <w:szCs w:val="32"/>
        </w:rPr>
        <w:t>力资源事务支出（项）：主要指除项目外其他人力资源事务方面支出。</w:t>
      </w:r>
    </w:p>
    <w:p>
      <w:pPr>
        <w:numPr>
          <w:ilvl w:val="0"/>
          <w:numId w:val="1"/>
        </w:numPr>
        <w:ind w:firstLine="640" w:firstLineChars="200"/>
        <w:rPr>
          <w:sz w:val="32"/>
          <w:szCs w:val="32"/>
        </w:rPr>
      </w:pPr>
      <w:r>
        <w:rPr>
          <w:rFonts w:hint="eastAsia"/>
          <w:sz w:val="32"/>
          <w:szCs w:val="32"/>
        </w:rPr>
        <w:t>社会保障和就业支出（类）人力资源和社会保障管理事务（款）社会保险业务管理事务（项）：主要指农民工工资履约保险保证金支出。</w:t>
      </w:r>
    </w:p>
    <w:p>
      <w:pPr>
        <w:numPr>
          <w:ilvl w:val="0"/>
          <w:numId w:val="1"/>
        </w:numPr>
        <w:ind w:firstLine="640" w:firstLineChars="200"/>
        <w:rPr>
          <w:sz w:val="32"/>
          <w:szCs w:val="32"/>
        </w:rPr>
      </w:pPr>
      <w:r>
        <w:rPr>
          <w:rFonts w:hint="eastAsia"/>
          <w:sz w:val="32"/>
          <w:szCs w:val="32"/>
        </w:rPr>
        <w:t>社会保障和就业支出（类）人力资源和社会保障管理事务（款）其他人力资源和社会保障管理事务支出（项）：主要指上级拨付的无欠薪及信息化建设资金支出。</w:t>
      </w:r>
    </w:p>
    <w:p>
      <w:pPr>
        <w:ind w:firstLine="640"/>
        <w:rPr>
          <w:sz w:val="32"/>
          <w:szCs w:val="32"/>
        </w:rPr>
      </w:pPr>
      <w:r>
        <w:rPr>
          <w:rFonts w:hint="eastAsia"/>
          <w:sz w:val="32"/>
          <w:szCs w:val="32"/>
        </w:rPr>
        <w:t>24.社会保障和就业支出（类）行政事业单位养老支出（款）行政单位离退休（项）：离退休人员经费支出。</w:t>
      </w:r>
    </w:p>
    <w:p>
      <w:pPr>
        <w:ind w:firstLine="640"/>
        <w:rPr>
          <w:sz w:val="32"/>
          <w:szCs w:val="32"/>
        </w:rPr>
      </w:pPr>
      <w:r>
        <w:rPr>
          <w:rFonts w:hint="eastAsia"/>
          <w:sz w:val="32"/>
          <w:szCs w:val="32"/>
        </w:rPr>
        <w:t>25.社会保障和就业支出（类）行政事业单位养老支出（款）机关事业单位基本养老保险缴费支出（项）：主要指单位缴纳的养老保险支出。</w:t>
      </w:r>
    </w:p>
    <w:p>
      <w:pPr>
        <w:ind w:firstLine="640"/>
        <w:rPr>
          <w:sz w:val="32"/>
          <w:szCs w:val="32"/>
        </w:rPr>
      </w:pPr>
      <w:r>
        <w:rPr>
          <w:rFonts w:hint="eastAsia"/>
          <w:sz w:val="32"/>
          <w:szCs w:val="32"/>
        </w:rPr>
        <w:t>26.社会保障和就业支出（类）行政事业单位养老支出（款）机关事业单位职业年金缴费支出（项）：主要指单位缴纳的职业年金支出。</w:t>
      </w:r>
    </w:p>
    <w:p>
      <w:pPr>
        <w:ind w:firstLine="640"/>
        <w:rPr>
          <w:sz w:val="32"/>
          <w:szCs w:val="32"/>
        </w:rPr>
      </w:pPr>
      <w:r>
        <w:rPr>
          <w:rFonts w:hint="eastAsia"/>
          <w:sz w:val="32"/>
          <w:szCs w:val="32"/>
        </w:rPr>
        <w:t>27.卫生健康支出（类）行政事业单位医疗（款）行政单位医疗（项）：主要指单位基本医疗保险费经费支出。</w:t>
      </w:r>
    </w:p>
    <w:p>
      <w:pPr>
        <w:ind w:firstLine="640"/>
        <w:rPr>
          <w:sz w:val="32"/>
          <w:szCs w:val="32"/>
        </w:rPr>
      </w:pPr>
      <w:r>
        <w:rPr>
          <w:rFonts w:hint="eastAsia"/>
          <w:sz w:val="32"/>
          <w:szCs w:val="32"/>
        </w:rPr>
        <w:t>28.住房保障支出（类）住房改革支出（款）住房公积金（项）：主要指单位按规定比例为职业缴纳的住房公积金。</w:t>
      </w:r>
    </w:p>
    <w:p>
      <w:pPr>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CE5D9"/>
    <w:multiLevelType w:val="singleLevel"/>
    <w:tmpl w:val="629CE5D9"/>
    <w:lvl w:ilvl="0" w:tentative="0">
      <w:start w:val="2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B0771BF"/>
    <w:rsid w:val="00277CCF"/>
    <w:rsid w:val="00302BE2"/>
    <w:rsid w:val="005208B1"/>
    <w:rsid w:val="00565979"/>
    <w:rsid w:val="007E48BD"/>
    <w:rsid w:val="00817C8B"/>
    <w:rsid w:val="00CD7CDE"/>
    <w:rsid w:val="044448A9"/>
    <w:rsid w:val="07C024C1"/>
    <w:rsid w:val="090A78F2"/>
    <w:rsid w:val="0D566622"/>
    <w:rsid w:val="0EFD51C1"/>
    <w:rsid w:val="154C0426"/>
    <w:rsid w:val="15EF31A9"/>
    <w:rsid w:val="17B056DD"/>
    <w:rsid w:val="1B3B3650"/>
    <w:rsid w:val="1CD503FF"/>
    <w:rsid w:val="1FA26B64"/>
    <w:rsid w:val="238140A4"/>
    <w:rsid w:val="24656757"/>
    <w:rsid w:val="2528300E"/>
    <w:rsid w:val="255C36AC"/>
    <w:rsid w:val="2AED0A43"/>
    <w:rsid w:val="2B893200"/>
    <w:rsid w:val="2C7E62FA"/>
    <w:rsid w:val="2F9F06BE"/>
    <w:rsid w:val="34C15C65"/>
    <w:rsid w:val="3550090F"/>
    <w:rsid w:val="35587D95"/>
    <w:rsid w:val="369B02B6"/>
    <w:rsid w:val="3B0771BF"/>
    <w:rsid w:val="3C981C3D"/>
    <w:rsid w:val="3F7A1250"/>
    <w:rsid w:val="40983BAD"/>
    <w:rsid w:val="45EE6996"/>
    <w:rsid w:val="480773C2"/>
    <w:rsid w:val="4E075B69"/>
    <w:rsid w:val="50ED4379"/>
    <w:rsid w:val="52EF495A"/>
    <w:rsid w:val="574B4BF8"/>
    <w:rsid w:val="57CC7DF9"/>
    <w:rsid w:val="5ABA5FA0"/>
    <w:rsid w:val="5BC93035"/>
    <w:rsid w:val="5D7D655B"/>
    <w:rsid w:val="5DB30208"/>
    <w:rsid w:val="60254518"/>
    <w:rsid w:val="667C5411"/>
    <w:rsid w:val="69DC3C88"/>
    <w:rsid w:val="6BB727C5"/>
    <w:rsid w:val="6EEF5800"/>
    <w:rsid w:val="70974F89"/>
    <w:rsid w:val="727449F7"/>
    <w:rsid w:val="73055E49"/>
    <w:rsid w:val="77AC0174"/>
    <w:rsid w:val="7F8B1F8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1757</Words>
  <Characters>10020</Characters>
  <Lines>83</Lines>
  <Paragraphs>23</Paragraphs>
  <TotalTime>0</TotalTime>
  <ScaleCrop>false</ScaleCrop>
  <LinksUpToDate>false</LinksUpToDate>
  <CharactersWithSpaces>11754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2021-08-31T01:32:00Z</dcterms:created>
  <dc:creator>jn</dc:creator>
  <cp:lastModifiedBy>。</cp:lastModifiedBy>
  <dcterms:modified xsi:type="dcterms:W3CDTF">2022-11-09T08:38:24Z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DAFB0CE4E6F94A0A86DD98EB6AD2C6DB</vt:lpwstr>
  </property>
</Properties>
</file>