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840" w:lineRule="atLeast"/>
        <w:ind w:left="0" w:right="0" w:firstLine="0"/>
        <w:jc w:val="center"/>
        <w:rPr>
          <w:rFonts w:hint="eastAsia" w:ascii="宋体" w:hAnsi="宋体" w:eastAsia="宋体" w:cs="宋体"/>
          <w:i w:val="0"/>
          <w:caps w:val="0"/>
          <w:color w:val="898989"/>
          <w:spacing w:val="0"/>
          <w:sz w:val="21"/>
          <w:szCs w:val="21"/>
        </w:rPr>
      </w:pPr>
      <w:r>
        <w:rPr>
          <w:rFonts w:hint="eastAsia" w:ascii="微软雅黑" w:hAnsi="微软雅黑" w:eastAsia="微软雅黑" w:cs="微软雅黑"/>
          <w:b w:val="0"/>
          <w:i w:val="0"/>
          <w:caps w:val="0"/>
          <w:color w:val="333333"/>
          <w:spacing w:val="0"/>
          <w:sz w:val="57"/>
          <w:szCs w:val="57"/>
          <w:bdr w:val="none" w:color="auto" w:sz="0" w:space="0"/>
          <w:shd w:val="clear" w:fill="FFFFFF"/>
        </w:rPr>
        <w:t>中共中央办公厅　国务院办公厅印发《关于加快推进失信被执行人信用监督、警示和惩戒机制建设的意见》</w:t>
      </w:r>
      <w:r>
        <w:rPr>
          <w:rFonts w:hint="eastAsia" w:ascii="宋体" w:hAnsi="宋体" w:eastAsia="宋体" w:cs="宋体"/>
          <w:i w:val="0"/>
          <w:caps w:val="0"/>
          <w:color w:val="000000"/>
          <w:spacing w:val="0"/>
          <w:kern w:val="0"/>
          <w:sz w:val="21"/>
          <w:szCs w:val="21"/>
          <w:u w:val="none"/>
          <w:bdr w:val="none" w:color="auto" w:sz="0" w:space="0"/>
          <w:shd w:val="clear" w:fill="FFFFFF"/>
          <w:lang w:val="en-US" w:eastAsia="zh-CN" w:bidi="ar"/>
        </w:rPr>
        <w:fldChar w:fldCharType="begin"/>
      </w:r>
      <w:r>
        <w:rPr>
          <w:rFonts w:hint="eastAsia" w:ascii="宋体" w:hAnsi="宋体" w:eastAsia="宋体" w:cs="宋体"/>
          <w:i w:val="0"/>
          <w:caps w:val="0"/>
          <w:color w:val="000000"/>
          <w:spacing w:val="0"/>
          <w:kern w:val="0"/>
          <w:sz w:val="21"/>
          <w:szCs w:val="21"/>
          <w:u w:val="none"/>
          <w:bdr w:val="none" w:color="auto" w:sz="0" w:space="0"/>
          <w:shd w:val="clear" w:fill="FFFFFF"/>
          <w:lang w:val="en-US" w:eastAsia="zh-CN" w:bidi="ar"/>
        </w:rPr>
        <w:instrText xml:space="preserve"> HYPERLINK "http://share.gwd.gov.cn/" \t "http://www.gov.cn/zhengce/2016-09/25/_blank" </w:instrText>
      </w:r>
      <w:r>
        <w:rPr>
          <w:rFonts w:hint="eastAsia" w:ascii="宋体" w:hAnsi="宋体" w:eastAsia="宋体" w:cs="宋体"/>
          <w:i w:val="0"/>
          <w:caps w:val="0"/>
          <w:color w:val="000000"/>
          <w:spacing w:val="0"/>
          <w:kern w:val="0"/>
          <w:sz w:val="21"/>
          <w:szCs w:val="21"/>
          <w:u w:val="none"/>
          <w:bdr w:val="none" w:color="auto" w:sz="0" w:space="0"/>
          <w:shd w:val="clear" w:fill="FFFFFF"/>
          <w:lang w:val="en-US" w:eastAsia="zh-CN" w:bidi="ar"/>
        </w:rPr>
        <w:fldChar w:fldCharType="separate"/>
      </w:r>
      <w:r>
        <w:rPr>
          <w:rFonts w:hint="eastAsia" w:ascii="宋体" w:hAnsi="宋体" w:eastAsia="宋体" w:cs="宋体"/>
          <w:i w:val="0"/>
          <w:caps w:val="0"/>
          <w:color w:val="000000"/>
          <w:spacing w:val="0"/>
          <w:kern w:val="0"/>
          <w:sz w:val="21"/>
          <w:szCs w:val="21"/>
          <w:u w:val="none"/>
          <w:bdr w:val="none" w:color="auto" w:sz="0" w:space="0"/>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caps w:val="0"/>
          <w:color w:val="898989"/>
          <w:spacing w:val="0"/>
          <w:sz w:val="21"/>
          <w:szCs w:val="21"/>
        </w:rPr>
      </w:pPr>
      <w:r>
        <w:rPr>
          <w:rFonts w:hint="eastAsia" w:ascii="宋体" w:hAnsi="宋体" w:eastAsia="宋体" w:cs="宋体"/>
          <w:i w:val="0"/>
          <w:caps w:val="0"/>
          <w:color w:val="000000"/>
          <w:spacing w:val="0"/>
          <w:kern w:val="0"/>
          <w:sz w:val="21"/>
          <w:szCs w:val="21"/>
          <w:u w:val="none"/>
          <w:bdr w:val="none" w:color="auto" w:sz="0" w:space="0"/>
          <w:shd w:val="clear" w:fill="FFFFFF"/>
          <w:lang w:val="en-US" w:eastAsia="zh-CN" w:bidi="ar"/>
        </w:rPr>
        <w:fldChar w:fldCharType="begin"/>
      </w:r>
      <w:r>
        <w:rPr>
          <w:rFonts w:hint="eastAsia" w:ascii="宋体" w:hAnsi="宋体" w:eastAsia="宋体" w:cs="宋体"/>
          <w:i w:val="0"/>
          <w:caps w:val="0"/>
          <w:color w:val="000000"/>
          <w:spacing w:val="0"/>
          <w:kern w:val="0"/>
          <w:sz w:val="21"/>
          <w:szCs w:val="21"/>
          <w:u w:val="none"/>
          <w:bdr w:val="none" w:color="auto" w:sz="0" w:space="0"/>
          <w:shd w:val="clear" w:fill="FFFFFF"/>
          <w:lang w:val="en-US" w:eastAsia="zh-CN" w:bidi="ar"/>
        </w:rPr>
        <w:instrText xml:space="preserve"> HYPERLINK "http://www.gov.cn/zhengce/2016-09/25/content_5111921.htm" \o "微信" </w:instrText>
      </w:r>
      <w:r>
        <w:rPr>
          <w:rFonts w:hint="eastAsia" w:ascii="宋体" w:hAnsi="宋体" w:eastAsia="宋体" w:cs="宋体"/>
          <w:i w:val="0"/>
          <w:caps w:val="0"/>
          <w:color w:val="000000"/>
          <w:spacing w:val="0"/>
          <w:kern w:val="0"/>
          <w:sz w:val="21"/>
          <w:szCs w:val="21"/>
          <w:u w:val="none"/>
          <w:bdr w:val="none" w:color="auto" w:sz="0" w:space="0"/>
          <w:shd w:val="clear" w:fill="FFFFFF"/>
          <w:lang w:val="en-US" w:eastAsia="zh-CN" w:bidi="ar"/>
        </w:rPr>
        <w:fldChar w:fldCharType="separate"/>
      </w:r>
      <w:r>
        <w:rPr>
          <w:rStyle w:val="6"/>
          <w:rFonts w:hint="eastAsia" w:ascii="宋体" w:hAnsi="宋体" w:eastAsia="宋体" w:cs="宋体"/>
          <w:i w:val="0"/>
          <w:caps w:val="0"/>
          <w:color w:val="000000"/>
          <w:spacing w:val="0"/>
          <w:sz w:val="21"/>
          <w:szCs w:val="21"/>
          <w:u w:val="none"/>
          <w:bdr w:val="none" w:color="auto" w:sz="0" w:space="0"/>
          <w:shd w:val="clear" w:fill="FFFFFF"/>
        </w:rPr>
        <w:t> </w:t>
      </w:r>
      <w:r>
        <w:rPr>
          <w:rFonts w:hint="eastAsia" w:ascii="宋体" w:hAnsi="宋体" w:eastAsia="宋体" w:cs="宋体"/>
          <w:i w:val="0"/>
          <w:caps w:val="0"/>
          <w:color w:val="000000"/>
          <w:spacing w:val="0"/>
          <w:kern w:val="0"/>
          <w:sz w:val="21"/>
          <w:szCs w:val="21"/>
          <w:u w:val="none"/>
          <w:bdr w:val="none" w:color="auto" w:sz="0" w:space="0"/>
          <w:shd w:val="clear" w:fill="FFFFFF"/>
          <w:lang w:val="en-US" w:eastAsia="zh-CN" w:bidi="ar"/>
        </w:rPr>
        <w:fldChar w:fldCharType="end"/>
      </w:r>
      <w:r>
        <w:rPr>
          <w:rFonts w:hint="eastAsia" w:ascii="宋体" w:hAnsi="宋体" w:eastAsia="宋体" w:cs="宋体"/>
          <w:i w:val="0"/>
          <w:caps w:val="0"/>
          <w:color w:val="000000"/>
          <w:spacing w:val="0"/>
          <w:kern w:val="0"/>
          <w:sz w:val="21"/>
          <w:szCs w:val="21"/>
          <w:u w:val="none"/>
          <w:bdr w:val="none" w:color="auto" w:sz="0" w:space="0"/>
          <w:shd w:val="clear" w:fill="FFFFFF"/>
          <w:lang w:val="en-US" w:eastAsia="zh-CN" w:bidi="ar"/>
        </w:rPr>
        <w:fldChar w:fldCharType="begin"/>
      </w:r>
      <w:r>
        <w:rPr>
          <w:rFonts w:hint="eastAsia" w:ascii="宋体" w:hAnsi="宋体" w:eastAsia="宋体" w:cs="宋体"/>
          <w:i w:val="0"/>
          <w:caps w:val="0"/>
          <w:color w:val="000000"/>
          <w:spacing w:val="0"/>
          <w:kern w:val="0"/>
          <w:sz w:val="21"/>
          <w:szCs w:val="21"/>
          <w:u w:val="none"/>
          <w:bdr w:val="none" w:color="auto" w:sz="0" w:space="0"/>
          <w:shd w:val="clear" w:fill="FFFFFF"/>
          <w:lang w:val="en-US" w:eastAsia="zh-CN" w:bidi="ar"/>
        </w:rPr>
        <w:instrText xml:space="preserve"> HYPERLINK "http://www.gov.cn/zhengce/2016-09/25/content_5111921.htm" \o "新浪微博" </w:instrText>
      </w:r>
      <w:r>
        <w:rPr>
          <w:rFonts w:hint="eastAsia" w:ascii="宋体" w:hAnsi="宋体" w:eastAsia="宋体" w:cs="宋体"/>
          <w:i w:val="0"/>
          <w:caps w:val="0"/>
          <w:color w:val="000000"/>
          <w:spacing w:val="0"/>
          <w:kern w:val="0"/>
          <w:sz w:val="21"/>
          <w:szCs w:val="21"/>
          <w:u w:val="none"/>
          <w:bdr w:val="none" w:color="auto" w:sz="0" w:space="0"/>
          <w:shd w:val="clear" w:fill="FFFFFF"/>
          <w:lang w:val="en-US" w:eastAsia="zh-CN" w:bidi="ar"/>
        </w:rPr>
        <w:fldChar w:fldCharType="separate"/>
      </w:r>
      <w:r>
        <w:rPr>
          <w:rStyle w:val="6"/>
          <w:rFonts w:hint="eastAsia" w:ascii="宋体" w:hAnsi="宋体" w:eastAsia="宋体" w:cs="宋体"/>
          <w:i w:val="0"/>
          <w:caps w:val="0"/>
          <w:color w:val="000000"/>
          <w:spacing w:val="0"/>
          <w:sz w:val="21"/>
          <w:szCs w:val="21"/>
          <w:u w:val="none"/>
          <w:bdr w:val="none" w:color="auto" w:sz="0" w:space="0"/>
          <w:shd w:val="clear" w:fill="FFFFFF"/>
        </w:rPr>
        <w:t> </w:t>
      </w:r>
      <w:r>
        <w:rPr>
          <w:rFonts w:hint="eastAsia" w:ascii="宋体" w:hAnsi="宋体" w:eastAsia="宋体" w:cs="宋体"/>
          <w:i w:val="0"/>
          <w:caps w:val="0"/>
          <w:color w:val="000000"/>
          <w:spacing w:val="0"/>
          <w:kern w:val="0"/>
          <w:sz w:val="21"/>
          <w:szCs w:val="21"/>
          <w:u w:val="none"/>
          <w:bdr w:val="none" w:color="auto" w:sz="0" w:space="0"/>
          <w:shd w:val="clear" w:fill="FFFFFF"/>
          <w:lang w:val="en-US" w:eastAsia="zh-CN" w:bidi="ar"/>
        </w:rPr>
        <w:fldChar w:fldCharType="end"/>
      </w:r>
      <w:r>
        <w:rPr>
          <w:rFonts w:hint="eastAsia" w:ascii="宋体" w:hAnsi="宋体" w:eastAsia="宋体" w:cs="宋体"/>
          <w:i w:val="0"/>
          <w:caps w:val="0"/>
          <w:color w:val="898989"/>
          <w:spacing w:val="0"/>
          <w:kern w:val="0"/>
          <w:sz w:val="21"/>
          <w:szCs w:val="21"/>
          <w:bdr w:val="none" w:color="auto" w:sz="0" w:space="0"/>
          <w:shd w:val="clear" w:fill="FFFFFF"/>
          <w:lang w:val="en-US" w:eastAsia="zh-CN" w:bidi="ar"/>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bookmarkStart w:id="0" w:name="_GoBack"/>
      <w:bookmarkEnd w:id="0"/>
      <w:r>
        <w:rPr>
          <w:rFonts w:hint="eastAsia" w:ascii="宋体" w:hAnsi="宋体" w:eastAsia="宋体" w:cs="宋体"/>
          <w:i w:val="0"/>
          <w:caps w:val="0"/>
          <w:color w:val="333333"/>
          <w:spacing w:val="0"/>
          <w:sz w:val="24"/>
          <w:szCs w:val="24"/>
          <w:bdr w:val="none" w:color="auto" w:sz="0" w:space="0"/>
          <w:shd w:val="clear" w:fill="FFFFFF"/>
        </w:rPr>
        <w:t>近日，中共中央办公厅、国务院办公厅印发了《关于加快推进失信被执行人信用监督、警示和惩戒机制建设的意见》，并发出通知，要求各地区各部门结合实际认真贯彻落实。</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《关于加快推进失信被执行人信用监督、警示和惩戒机制建设的意见》全文如下。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人民法院通过司法程序认定的被执行人失信信息是社会信用信息重要组成部分。对失信被执行人进行信用监督、警示和惩戒，有利于促进被执行人自觉履行生效法律文书确定的义务，提高司法公信力，推进社会信用体系建设。为加快推进失信被执行人信用监督、警示和惩戒机制建设，现提出以下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i w:val="0"/>
          <w:caps w:val="0"/>
          <w:color w:val="333333"/>
          <w:spacing w:val="0"/>
          <w:sz w:val="24"/>
          <w:szCs w:val="24"/>
          <w:bdr w:val="none" w:color="auto" w:sz="0" w:space="0"/>
          <w:shd w:val="clear" w:fill="FFFFFF"/>
        </w:rPr>
        <w:t>一、总体要求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一）指导思想。全面贯彻落实党的十八大和十八届三中、四中、五中全会精神，深入学习贯彻习近平总书记系列重要讲话精神，紧紧围绕统筹推进“五位一体”总体布局和协调推进“四个全面”战略布局，牢固树立新发展理念，按照培育和践行社会主义核心价值观、推进信用信息共享、健全激励惩戒机制、提高全社会诚信水平的有关要求，进一步提高人民法院执行工作能力，加快推进失信被执行人跨部门协同监管和联合惩戒机制建设，构建一处失信、处处受限的信用监督、警示和惩戒工作体制机制，维护司法权威，提高司法公信力，营造向上向善、诚信互助的社会风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（二）基本原则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——坚持合法性。对失信被执行人信用监督、警示和惩戒要严格遵照法律法规实施。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——坚持信息共享。破除各地区各部门之间以及国家机关与人民团体、社会组织、企事业单位之间的信用信息壁垒，依法推进信用信息互联互通和交换共享。</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——坚持联合惩戒。各地区各部门要各司其职，相互配合，形成合力，构建一处失信、处处受限的信用监督、警示和惩戒体系。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——坚持政府主导和社会联动。各级政府要发挥主导作用，同时发挥各方面力量，促进全社会共同参与、共同治理，实现政府主导与社会联动的有效融合。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三）建设目标。到2018年，人民法院执行工作能力显著增强，执行联动体制便捷、顺畅、高效运行。失信被执行人名单制度更加科学、完善，失信被执行人界定与信息管理、推送、公开、屏蔽、撤销等合法高效、准确及时。失信被执行人信息与各类信用信息互联共享，以联合惩戒为核心的失信被执行人信用监督、警示和惩戒机制高效运行。有效促进被执行人自觉履行人民法院生效裁判确定的义务，执行难问题基本解决，司法公信力大幅提升，诚实守信成为全社会共同的价值追求和行为准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i w:val="0"/>
          <w:caps w:val="0"/>
          <w:color w:val="333333"/>
          <w:spacing w:val="0"/>
          <w:sz w:val="24"/>
          <w:szCs w:val="24"/>
          <w:bdr w:val="none" w:color="auto" w:sz="0" w:space="0"/>
          <w:shd w:val="clear" w:fill="FFFFFF"/>
        </w:rPr>
        <w:t>二、加强联合惩戒</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（一）从事特定行业或项目限制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1．设立金融类公司限制。将失信被执行人相关信息作为设立银行业金融机构及其分支机构，以及参股、收购银行业金融机构审批的审慎性参考，作为设立证券公司、基金管理公司、期货公司审批，私募投资基金管理人登记的审慎性参考。限制失信被执行人设立融资性担保公司、保险公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2．发行债券限制。对失信被执行人在银行间市场发行债券从严审核，限制失信被执行人公开发行公司债券。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3．合格投资者额度限制。在合格境外机构投资者、合格境内机构投资者额度审批和管理中，将失信状况作为审慎性参考依据。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4．股权激励限制。失信被执行人为境内国有控股上市公司的，协助中止其股权激励计划；对失信被执行人为境内国有控股上市公司股权激励对象的，协助终止其行权资格。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5．股票发行或挂牌转让限制。将失信被执行人信息作为股票发行和在全国中小企业股份转让系统挂牌公开转让股票审核的参考。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6．设立社会组织限制。将失信被执行人信息作为发起设立社会组织审批登记的参考，限制失信被执行人发起设立社会组织。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7．参与政府投资项目或主要使用财政性资金项目限制。协助人民法院查询政府采购项目信息；依法限制失信被执行人作为供应商参加政府采购活动；依法限制失信被执行人参与政府投资项目或主要使用财政性资金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（二）政府支持或补贴限制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1．获取政府补贴限制。限制失信被执行人申请政府补贴资金和社会保障资金支持。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2．获得政策支持限制。在审批投资、进出口、科技等政策支持的申请时，查询相关机构及其法定代表人、实际控制人、董事、监事、高级管理人员是否为失信被执行人，作为其享受该政策的审慎性参考。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（三）任职资格限制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1．担任国企高管限制。失信被执行人为个人的，限制其担任国有独资公司、国有资本控股公司董事、监事、高级管理人员，以及国有资本参股公司国有股权方派出或推荐的董事、监事、高级管理人员；已担任相关职务的，按照有关程序依法免去其职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2．担任事业单位法定代表人限制。失信被执行人为个人的，限制其登记为事业单位法定代表人。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3．担任金融机构高管限制。限制失信被执行人担任银行业金融机构、证券公司、基金管理公司、期货公司、保险公司、融资性担保公司的董事、监事、高级管理人员。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4．担任社会组织负责人限制。失信被执行人为个人的，限制其登记或备案为社会组织负责人。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5．招录（聘）为公务人员限制。限制招录（聘）失信被执行人为公务员或事业单位工作人员，在职公务员或事业单位工作人员被确定为失信被执行人的，失信情况应作为其评先、评优、晋职晋级的参考。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6．入党或党员的特别限制。将严格遵守法律、履行生效法律文书确定的义务情况，作为申请加入中国共产党、预备党员转为正式党员以及党员评先、评优、晋职晋级的重要参考。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7．担任党代表、人大代表和政协委员限制。失信被执行人为个人的，不作为组织推荐的各级党代会代表、各级人大代表和政协委员候选人。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8．入伍服役限制。失信被执行人为个人的，将其失信情况作为入伍服役和现役、预备役军官评先、评优、晋职晋级的重要参考。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（四）准入资格限制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1．海关认证限制。限制失信被执行人成为海关认证企业；在失信被执行人办理通关业务时，实施严密监管，加强单证审核或布控查验。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2．从事药品、食品等行业限制。对失信被执行人从事药品、食品安全行业从严审批；限制失信被执行人从事危险化学品生产经营储存、烟花爆竹生产经营、矿山生产和安全评价、认证、检测、检验等行业；限制失信被执行人担任上述行业单位主要负责人及董事、监事、高级管理人员，已担任相关职务的，按规定程序要求予以变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3．房地产、建筑企业资质限制。将房地产、建筑企业不依法履行生效法律文书确定的义务情况，记入房地产和建筑市场信用档案，向社会披露有关信息，对其企业资质作出限制。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（五）荣誉和授信限制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1．授予文明城市、文明村镇、文明单位、文明家庭、道德模范、慈善类奖项限制。将履行人民法院生效裁判情况作为评选文明村镇、文明单位、文明家庭的前置条件，作为文明城市测评的指标内容。有关机构及其法定代表人、实际控制人、董事、监事、高级管理人员为失信被执行人的，不得参加文明单位、慈善类奖项评选，列入失信被执行人后取得的文明单位荣誉称号、慈善类奖项予以撤销。失信被执行人为个人的，不得参加道德模范、慈善类奖项评选，列入失信被执行人后获得的道德模范荣誉称号、慈善类奖项予以撤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2．律师和律师事务所荣誉限制。协助人民法院查询失信被执行人的律师身份信息、律师事务所登记信息；失信被执行人为律师、律师事务所的，在一定期限内限制其参与评先、评优。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3．授信限制。银行业金融机构在融资授信时要查询拟授信对象及其法定代表人、主要负责人、实际控制人、董事、监事、高级管理人员是否为失信被执行人，对拟授信对象为失信被执行人的，要从严审核。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（六）特殊市场交易限制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1．从事不动产交易、国有资产交易限制。协助人民法院查询不动产登记情况，限制失信被执行人及失信被执行人的法定代表人、主要负责人、实际控制人、影响债务履行的直接责任人员购买或取得房产、土地使用权等不动产；限制失信被执行人从事土地、矿产等不动产资源开发利用，参与国有企业资产、国家资产等国有产权交易。</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2．使用国有林地限制。限制失信被执行人申报使用国有林地项目；限制其申报重点林业建设项目。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3．使用草原限制。限制失信被执行人申报草原征占用项目；限制其申报承担国家草原保护建设项目。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4．其他国有自然资源利用限制。限制失信被执行人申报水流、海域、无居民海岛、山岭、荒地、滩涂等国有自然资源利用项目以及重点自然资源保护建设项目。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（七）限制高消费及有关消费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1．乘坐火车、飞机限制。限制失信被执行人及失信被执行人的法定代表人、主要负责人、实际控制人、影响债务履行的直接责任人员乘坐列车软卧、G字头动车组列车全部座位、其他动车组列车一等以上座位、民航飞机等非生活和工作必需的消费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2．住宿宾馆饭店限制。限制失信被执行人及失信被执行人的法定代表人、主要负责人、实际控制人、影响债务履行的直接责任人员住宿星级以上宾馆饭店、国家一级以上酒店及其他高消费住宿场所；限制其在夜总会、高尔夫球场等高消费场所消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3．高消费旅游限制。限制失信被执行人及失信被执行人的法定代表人、主要负责人、实际控制人、影响债务履行的直接责任人员参加旅行社组织的团队出境旅游，以及享受旅行社提供的与出境旅游相关的其他服务；对失信被执行人在获得旅游等级评定的度假区内或旅游企业内消费实行限额控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4．子女就读高收费学校限制。限制失信被执行人及失信被执行人的法定代表人、主要负责人、实际控制人、影响债务履行的直接责任人员以其财产支付子女入学就读高收费私立学校。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5．购买具有现金价值保险限制。限制失信被执行人及失信被执行人的法定代表人、主要负责人、实际控制人、影响债务履行的直接责任人员支付高额保费购买具有现金价值的保险产品。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6．新建、扩建、高档装修房屋等限制。限制失信被执行人及失信被执行人的法定代表人、主要负责人、实际控制人、影响债务履行的直接责任人员新建、扩建、高档装修房屋，购买非经营必需车辆等非生活和工作必需的消费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（八）协助查询、控制及出境限制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协助人民法院依法查询失信被执行人身份、出入境证件信息及车辆信息，协助查封、扣押失信被执行人名下的车辆，协助查找、控制下落不明的失信被执行人，限制失信被执行人出境。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（九）加强日常监管检查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将失信被执行人和以失信被执行人为法定代表人、主要负责人、实际控制人、董事、监事、高级管理人员的单位，作为重点监管对象，加大日常监管力度，提高随机抽查的比例和频次，并可依据相关法律法规对其采取行政监管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（十）加大刑事惩戒力度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公安、检察机关和人民法院对拒不执行生效判决、裁定以及其他妨碍执行构成犯罪的行为，要及时依法侦查、提起公诉和审判。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（十一）鼓励其他方面限制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鼓励各级党政机关、人民团体、社会组织、企事业单位使用失信被执行人名单信息，结合各自主管领域、业务范围、经营活动，实施对失信被执行人的信用监督、警示和惩戒。</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i w:val="0"/>
          <w:caps w:val="0"/>
          <w:color w:val="333333"/>
          <w:spacing w:val="0"/>
          <w:sz w:val="24"/>
          <w:szCs w:val="24"/>
          <w:bdr w:val="none" w:color="auto" w:sz="0" w:space="0"/>
          <w:shd w:val="clear" w:fill="FFFFFF"/>
        </w:rPr>
        <w:t>三、加强信息公开与共享</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（一）失信信息公开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人民法院要及时准确更新失信被执行人名单信息，并通过全国法院失信被执行人名单信息公布与查询平台、有关网站、移动客户端、户外媒体等多种形式向社会公开，供公众免费查询；根据联合惩戒工作需要，人民法院可以向有关单位推送名单信息，供其结合自身工作依法使用名单信息。对依法不宜公开失信信息的被执行人，人民法院要通报其所在单位，由其所在单位依纪依法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（二）纳入政府政务公开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各地区各部门要按照中共中央办公厅、国务院办公厅印发的《关于全面推进政务公开工作的意见》的有关要求，将失信被执行人信用监督、警示和惩戒信息列入政务公开事项，对失信被执行人信用监督、警示和惩戒要依据部门权力清单、责任清单和负面清单依法开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（三）信用信息共享</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各地区各部门之间要进一步打破信息壁垒，实现信息共享，通过全国信用信息共享平台，加快推进失信被执行人信息与公安、民政、人力资源社会保障、国土资源、住房城乡建设、财政、金融、税务、工商、安全监管、证券、科技等部门信用信息资源共享，推进失信被执行人信息与有关人民团体、社会组织、企事业单位信用信息资源共享。</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（四）共享体制机制建设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加快推进失信被执行人信用信息共享体制机制建设，建立健全政府与征信机构、信用评级机构、金融机构、社会组织之间的信用信息共享机制。建立社会信用档案制度，将失信被执行人信息作为重要信用评价指标纳入社会信用评价体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i w:val="0"/>
          <w:caps w:val="0"/>
          <w:color w:val="333333"/>
          <w:spacing w:val="0"/>
          <w:sz w:val="24"/>
          <w:szCs w:val="24"/>
          <w:bdr w:val="none" w:color="auto" w:sz="0" w:space="0"/>
          <w:shd w:val="clear" w:fill="FFFFFF"/>
        </w:rPr>
        <w:t>四、完善相关制度机制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（一）进一步提高执行查控工作能力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1．加快推进网络执行查控系统建设。加大信息化手段在执行工作中的应用，整合完善现有法院信息化系统，实现网络化查找被执行人和控制财产的执行工作机制。要通过政务网、专网等实现人民法院执行查控网络与公安、民政、人力资源社会保障、国土资源、住房城乡建设、工商、交通运输、农业、人民银行、银行监管、证券监管、保险监管、外汇管理等政府部门，及各金融机构、银联、互联网企业等企事业单位之间的网络连接，建成覆盖全国地域及土地、房产、存款、金融理财产品、证券、股权、车辆等主要财产形式的网络化、自动化执行查控体系，实现全国四级法院互联互通、全面应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2．拓展执行查控措施。人民法院要进一步拓展对被告和被执行人财产的查控手段和措施。研究制定被执行人财产报告制度、律师调查被执行人财产制度、公告悬赏制度、审计调查制度等财产查控制度。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3．完善远程执行指挥系统。最高人民法院和各高级、中级人民法院以及有条件的基层人民法院要建立执行指挥中心和远程指挥系统，实现四级法院执行指挥系统联网运行。建立上下一体、内外联动、规范高效、反应快捷的执行指挥工作体制机制。建立四级法院统一的网络化执行办案平台、公开平台和案件流程节点管理平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（二）进一步完善失信被执行人名单制度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1．完善名单纳入制度。各级人民法院要根据执行案件的办理权限，严格按照法定条件和程序决定是否将被执行人纳入失信名单。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2．确保名单信息准确规范。人民法院要建立严格的操作规程和审核纠错机制，确保失信被执行人名单信息准确规范。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3．风险提示与救济。在将被执行人纳入失信名单前，人民法院应当向被执行人发出风险提示通知。被执行人认为将其纳入失信名单错误的，可以自收到决定之日起10日内向作出决定的人民法院申请纠正，人民法院应当自收到申请之日起3日内审查，理由成立的，予以撤销；理由不成立的，予以驳回。被执行人对驳回不服的，可以向上一级人民法院申请复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4．失信名单退出。失信被执行人全部履行了生效法律文书确定的义务，或与申请执行人达成执行和解协议并经申请执行人确认履行完毕，或案件依法终结执行等，人民法院要在3日内屏蔽或撤销其失信名单信息。屏蔽、撤销信息要及时向社会公开并通报给已推送单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5．惩戒措施解除。失信名单被依法屏蔽、撤销的，各信用监督、警示和惩戒单位要及时解除对被执行人的惩戒措施。确需继续保留对被执行人信用监督、警示和惩戒的，必须严格按照法律法规的有关规定实施，并明确继续保留的期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6．责任追究。进一步完善责任追究制度，对应当纳入而不纳入、违法纳入以及不按规定屏蔽、撤销失信名单等行为，要按照有关规定追究责任。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（三）进一步完善党政机关支持人民法院执行工作制度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1．进一步加强协助执行工作。各地区各部门要按照建立和完善执行联动机制的有关要求，进一步抓好落实工作。各级执行联动机制工作领导小组要制定具体的工作机制、程序，明确各协助执行单位的具体职责。强化协助执行工作考核与问责，组织人事、政法等部门要建立协助执行定期联合通报机制，对协助执行不力的单位予以通报和追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2．严格落实执行工作综治考核责任。将失信被执行人联合惩戒情况作为社会治安综合治理目标责任考核的重要内容。严格落实人民法院执行工作在社会治安综合治理目标责任考核中的有关要求。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3．强化对党政机关干扰执行的责任追究。党政机关要自觉履行人民法院生效裁判，并将落实情况纳入党风廉政建设主体责任和监督责任范围。坚决落实中共中央办公厅、国务院办公厅印发的《领导干部干预司法活动、插手具体案件处理的记录、通报和责任追究规定》，以及《司法机关内部人员过问案件的记录和责任追究规定》，对有关部门及领导干部干预执行、阻扰执行、不配合执行工作的行为，依纪依法严肃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i w:val="0"/>
          <w:caps w:val="0"/>
          <w:color w:val="333333"/>
          <w:spacing w:val="0"/>
          <w:sz w:val="24"/>
          <w:szCs w:val="24"/>
          <w:bdr w:val="none" w:color="auto" w:sz="0" w:space="0"/>
          <w:shd w:val="clear" w:fill="FFFFFF"/>
        </w:rPr>
        <w:t>五、加强组织领导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（一）加强组织实施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各地区各部门要高度重视对失信被执行人信用监督、警示和惩戒工作，将其作为推进全面依法治国、推进社会信用体系建设、培育和践行社会主义核心价值观的重要内容，切实加强组织领导。进一步加强和完善社会信用体系建设部际联席会议制度，形成常态化工作机制。各成员单位要确定专门机构、专业人员负责统筹协调、督促检查各项任务落实情况，并向部际联席会议报告，对工作落实不到位的，予以通报批评，强化问责。负有信息共享、联合惩戒职责的部门要抓紧制定实施细则，确定责任部门，明确时间表、路线图，确保各项措施在2016年年底前落实到位。各联合惩戒单位要在2016年年底前完成与全国信用信息共享平台联合惩戒系统的对接，通过网络自动抓取失信被执行人名单信息，及时反馈惩戒情况。同时要加快惩戒软件开发使用进度，将失信被执行人名单信息嵌入单位管理、审批、工作系统中，实现对失信被执行人名单信息的自动比对、自动拦截、自动监督、自动惩戒。</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（二）强化工作保障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各地区各部门要认真落实中央关于解决人民法院执行难问题的要求，强化执行机构的职能作用，配齐配强执行队伍，大力推进执行队伍正规化、专业化、职业化建设。加快推进人民法院执行查控系统与执行指挥系统的软硬件建设，加快推进全国信用信息共享平台建设，加快推进各信息共享单位、联合惩戒单位的信息传输专线、存储设备等硬件建设和软件开发，加强人才、资金、设备、技术等方面的保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（三）完善相关法律规定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加快推进强制执行法等相关法律法规、司法解释及其他规范性文件的立改废释工作，及时将加强执行工作、推进执行联动、信用信息公开和共享、完善失信被执行人名单制度、加强联合惩戒等工作法律化、制度化，确保法律规范的科学性、针对性、实用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（四）加大宣传力度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加大对失信被执行人名单和信用惩戒的宣传力度，充分发挥新闻媒体的宣传、监督和舆论引导作用。利用报纸、广播、电视、网络等媒体，依法将失信被执行人信息、受惩戒情况等公之于众，形成舆论压力，扩大失信被执行人名单制度的影响力和警示力。</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68273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想宝麻麻</cp:lastModifiedBy>
  <dcterms:modified xsi:type="dcterms:W3CDTF">2020-11-25T07:21:57Z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