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jc w:val="center"/>
        <w:rPr>
          <w:rFonts w:ascii="黑体" w:hAnsi="黑体" w:eastAsia="黑体"/>
          <w:b/>
          <w:color w:val="000000"/>
          <w:sz w:val="44"/>
        </w:rPr>
      </w:pPr>
      <w:r>
        <w:rPr>
          <w:rFonts w:hint="eastAsia" w:ascii="黑体" w:hAnsi="黑体" w:eastAsia="黑体"/>
          <w:b/>
          <w:spacing w:val="15"/>
          <w:sz w:val="44"/>
        </w:rPr>
        <w:t>景宁县就业管理服务处</w:t>
      </w:r>
      <w:r>
        <w:rPr>
          <w:rFonts w:hint="eastAsia" w:ascii="黑体" w:hAnsi="黑体" w:eastAsia="黑体"/>
          <w:b/>
          <w:color w:val="000000"/>
          <w:sz w:val="44"/>
        </w:rPr>
        <w:t>2020年度单位决算</w:t>
      </w:r>
    </w:p>
    <w:p>
      <w:pPr>
        <w:spacing w:line="324" w:lineRule="auto"/>
        <w:jc w:val="center"/>
        <w:rPr>
          <w:rFonts w:ascii="黑体" w:hAnsi="黑体" w:eastAsia="黑体"/>
          <w:b/>
          <w:color w:val="000000"/>
          <w:sz w:val="44"/>
        </w:rPr>
      </w:pPr>
    </w:p>
    <w:p>
      <w:pPr>
        <w:spacing w:line="324" w:lineRule="auto"/>
        <w:jc w:val="center"/>
      </w:pPr>
      <w:r>
        <w:rPr>
          <w:rFonts w:hint="eastAsia" w:ascii="黑体" w:hAnsi="黑体" w:eastAsia="黑体"/>
          <w:b/>
          <w:color w:val="000000"/>
          <w:sz w:val="44"/>
        </w:rPr>
        <w:t>目录</w:t>
      </w:r>
    </w:p>
    <w:sdt>
      <w:sdtPr>
        <w:rPr>
          <w:rFonts w:ascii="宋体" w:hAnsi="宋体"/>
        </w:rPr>
        <w:id w:val="147451574"/>
        <w:docPartObj>
          <w:docPartGallery w:val="Table of Contents"/>
          <w:docPartUnique/>
        </w:docPartObj>
      </w:sdtPr>
      <w:sdtEndPr>
        <w:rPr>
          <w:rFonts w:hint="eastAsia" w:ascii="黑体" w:hAnsi="黑体" w:eastAsia="黑体" w:cs="黑体"/>
          <w:sz w:val="22"/>
          <w:szCs w:val="22"/>
        </w:rPr>
      </w:sdtEndPr>
      <w:sdtContent>
        <w:p>
          <w:pPr>
            <w:jc w:val="center"/>
          </w:pPr>
        </w:p>
        <w:p>
          <w:pPr>
            <w:pStyle w:val="9"/>
            <w:tabs>
              <w:tab w:val="right" w:leader="dot" w:pos="8640"/>
            </w:tabs>
            <w:spacing w:line="520" w:lineRule="exact"/>
            <w:rPr>
              <w:rFonts w:ascii="黑体" w:hAnsi="黑体" w:eastAsia="黑体" w:cs="黑体"/>
              <w:sz w:val="22"/>
              <w:szCs w:val="22"/>
            </w:rPr>
          </w:pPr>
          <w:r>
            <w:fldChar w:fldCharType="begin"/>
          </w:r>
          <w:r>
            <w:instrText xml:space="preserve"> HYPERLINK \l "_Toc21847_WPSOffice_Level1" </w:instrText>
          </w:r>
          <w:r>
            <w:fldChar w:fldCharType="separate"/>
          </w:r>
          <w:r>
            <w:rPr>
              <w:rFonts w:hint="eastAsia" w:ascii="黑体" w:hAnsi="黑体" w:eastAsia="黑体" w:cs="黑体"/>
              <w:sz w:val="22"/>
              <w:szCs w:val="22"/>
            </w:rPr>
            <w:t>一、概况</w:t>
          </w:r>
          <w:r>
            <w:rPr>
              <w:rFonts w:hint="eastAsia" w:ascii="黑体" w:hAnsi="黑体" w:eastAsia="黑体" w:cs="黑体"/>
              <w:sz w:val="22"/>
              <w:szCs w:val="22"/>
            </w:rPr>
            <w:tab/>
          </w:r>
          <w:bookmarkStart w:id="0" w:name="_Toc21847_WPSOffice_Level1Page"/>
          <w:r>
            <w:rPr>
              <w:rFonts w:hint="eastAsia" w:ascii="黑体" w:hAnsi="黑体" w:eastAsia="黑体" w:cs="黑体"/>
              <w:sz w:val="22"/>
              <w:szCs w:val="22"/>
            </w:rPr>
            <w:t>2</w:t>
          </w:r>
          <w:bookmarkEnd w:id="0"/>
          <w:r>
            <w:rPr>
              <w:rFonts w:hint="eastAsia" w:ascii="黑体" w:hAnsi="黑体" w:eastAsia="黑体" w:cs="黑体"/>
              <w:sz w:val="22"/>
              <w:szCs w:val="22"/>
            </w:rPr>
            <w:fldChar w:fldCharType="end"/>
          </w:r>
        </w:p>
        <w:p>
          <w:pPr>
            <w:pStyle w:val="10"/>
            <w:tabs>
              <w:tab w:val="right" w:leader="dot" w:pos="8640"/>
            </w:tabs>
            <w:spacing w:line="520" w:lineRule="exact"/>
            <w:ind w:left="420"/>
            <w:rPr>
              <w:rFonts w:ascii="黑体" w:hAnsi="黑体" w:eastAsia="黑体" w:cs="黑体"/>
              <w:sz w:val="22"/>
              <w:szCs w:val="22"/>
            </w:rPr>
          </w:pPr>
          <w:r>
            <w:fldChar w:fldCharType="begin"/>
          </w:r>
          <w:r>
            <w:instrText xml:space="preserve"> HYPERLINK \l "_Toc6118_WPSOffice_Level2" </w:instrText>
          </w:r>
          <w:r>
            <w:fldChar w:fldCharType="separate"/>
          </w:r>
          <w:r>
            <w:rPr>
              <w:rFonts w:hint="eastAsia" w:ascii="黑体" w:hAnsi="黑体" w:eastAsia="黑体" w:cs="黑体"/>
              <w:sz w:val="22"/>
              <w:szCs w:val="22"/>
            </w:rPr>
            <w:t>（一）单位职责</w:t>
          </w:r>
          <w:r>
            <w:rPr>
              <w:rFonts w:hint="eastAsia" w:ascii="黑体" w:hAnsi="黑体" w:eastAsia="黑体" w:cs="黑体"/>
              <w:sz w:val="22"/>
              <w:szCs w:val="22"/>
            </w:rPr>
            <w:tab/>
          </w:r>
          <w:bookmarkStart w:id="1" w:name="_Toc6118_WPSOffice_Level2Page"/>
          <w:r>
            <w:rPr>
              <w:rFonts w:hint="eastAsia" w:ascii="黑体" w:hAnsi="黑体" w:eastAsia="黑体" w:cs="黑体"/>
              <w:sz w:val="22"/>
              <w:szCs w:val="22"/>
            </w:rPr>
            <w:t>2</w:t>
          </w:r>
          <w:bookmarkEnd w:id="1"/>
          <w:r>
            <w:rPr>
              <w:rFonts w:hint="eastAsia" w:ascii="黑体" w:hAnsi="黑体" w:eastAsia="黑体" w:cs="黑体"/>
              <w:sz w:val="22"/>
              <w:szCs w:val="22"/>
            </w:rPr>
            <w:fldChar w:fldCharType="end"/>
          </w:r>
        </w:p>
        <w:p>
          <w:pPr>
            <w:pStyle w:val="10"/>
            <w:tabs>
              <w:tab w:val="right" w:leader="dot" w:pos="8640"/>
            </w:tabs>
            <w:spacing w:line="520" w:lineRule="exact"/>
            <w:ind w:left="420"/>
            <w:rPr>
              <w:rFonts w:ascii="黑体" w:hAnsi="黑体" w:eastAsia="黑体" w:cs="黑体"/>
              <w:sz w:val="22"/>
              <w:szCs w:val="22"/>
            </w:rPr>
          </w:pPr>
          <w:r>
            <w:fldChar w:fldCharType="begin"/>
          </w:r>
          <w:r>
            <w:instrText xml:space="preserve"> HYPERLINK \l "_Toc22898_WPSOffice_Level2" </w:instrText>
          </w:r>
          <w:r>
            <w:fldChar w:fldCharType="separate"/>
          </w:r>
          <w:r>
            <w:rPr>
              <w:rFonts w:hint="eastAsia" w:ascii="黑体" w:hAnsi="黑体" w:eastAsia="黑体" w:cs="黑体"/>
              <w:sz w:val="22"/>
              <w:szCs w:val="22"/>
            </w:rPr>
            <w:t>（二）机构设置</w:t>
          </w:r>
          <w:r>
            <w:rPr>
              <w:rFonts w:hint="eastAsia" w:ascii="黑体" w:hAnsi="黑体" w:eastAsia="黑体" w:cs="黑体"/>
              <w:sz w:val="22"/>
              <w:szCs w:val="22"/>
            </w:rPr>
            <w:tab/>
          </w:r>
          <w:bookmarkStart w:id="2" w:name="_Toc22898_WPSOffice_Level2Page"/>
          <w:r>
            <w:rPr>
              <w:rFonts w:hint="eastAsia" w:ascii="黑体" w:hAnsi="黑体" w:eastAsia="黑体" w:cs="黑体"/>
              <w:sz w:val="22"/>
              <w:szCs w:val="22"/>
            </w:rPr>
            <w:t>3</w:t>
          </w:r>
          <w:bookmarkEnd w:id="2"/>
          <w:r>
            <w:rPr>
              <w:rFonts w:hint="eastAsia" w:ascii="黑体" w:hAnsi="黑体" w:eastAsia="黑体" w:cs="黑体"/>
              <w:sz w:val="22"/>
              <w:szCs w:val="22"/>
            </w:rPr>
            <w:fldChar w:fldCharType="end"/>
          </w:r>
        </w:p>
        <w:p>
          <w:pPr>
            <w:pStyle w:val="9"/>
            <w:tabs>
              <w:tab w:val="right" w:leader="dot" w:pos="8640"/>
            </w:tabs>
            <w:spacing w:line="520" w:lineRule="exact"/>
            <w:rPr>
              <w:rFonts w:ascii="黑体" w:hAnsi="黑体" w:eastAsia="黑体" w:cs="黑体"/>
              <w:sz w:val="22"/>
              <w:szCs w:val="22"/>
            </w:rPr>
          </w:pPr>
          <w:r>
            <w:fldChar w:fldCharType="begin"/>
          </w:r>
          <w:r>
            <w:instrText xml:space="preserve"> HYPERLINK \l "_Toc6118_WPSOffice_Level1" </w:instrText>
          </w:r>
          <w:r>
            <w:fldChar w:fldCharType="separate"/>
          </w:r>
          <w:r>
            <w:rPr>
              <w:rFonts w:hint="eastAsia" w:ascii="黑体" w:hAnsi="黑体" w:eastAsia="黑体" w:cs="黑体"/>
              <w:sz w:val="22"/>
              <w:szCs w:val="22"/>
            </w:rPr>
            <w:t>二、2020年度单位决算公开表</w:t>
          </w:r>
          <w:r>
            <w:rPr>
              <w:rFonts w:hint="eastAsia" w:ascii="黑体" w:hAnsi="黑体" w:eastAsia="黑体" w:cs="黑体"/>
              <w:sz w:val="22"/>
              <w:szCs w:val="22"/>
            </w:rPr>
            <w:tab/>
          </w:r>
          <w:bookmarkStart w:id="3" w:name="_Toc6118_WPSOffice_Level1Page"/>
          <w:r>
            <w:rPr>
              <w:rFonts w:hint="eastAsia" w:ascii="黑体" w:hAnsi="黑体" w:eastAsia="黑体" w:cs="黑体"/>
              <w:sz w:val="22"/>
              <w:szCs w:val="22"/>
            </w:rPr>
            <w:t>3</w:t>
          </w:r>
          <w:bookmarkEnd w:id="3"/>
          <w:r>
            <w:rPr>
              <w:rFonts w:hint="eastAsia" w:ascii="黑体" w:hAnsi="黑体" w:eastAsia="黑体" w:cs="黑体"/>
              <w:sz w:val="22"/>
              <w:szCs w:val="22"/>
            </w:rPr>
            <w:fldChar w:fldCharType="end"/>
          </w:r>
        </w:p>
        <w:p>
          <w:pPr>
            <w:pStyle w:val="9"/>
            <w:tabs>
              <w:tab w:val="right" w:leader="dot" w:pos="8640"/>
            </w:tabs>
            <w:spacing w:line="520" w:lineRule="exact"/>
            <w:rPr>
              <w:rFonts w:ascii="黑体" w:hAnsi="黑体" w:eastAsia="黑体" w:cs="黑体"/>
              <w:sz w:val="22"/>
              <w:szCs w:val="22"/>
            </w:rPr>
          </w:pPr>
          <w:r>
            <w:fldChar w:fldCharType="begin"/>
          </w:r>
          <w:r>
            <w:instrText xml:space="preserve"> HYPERLINK \l "_Toc22898_WPSOffice_Level1" </w:instrText>
          </w:r>
          <w:r>
            <w:fldChar w:fldCharType="separate"/>
          </w:r>
          <w:r>
            <w:rPr>
              <w:rFonts w:hint="eastAsia" w:ascii="黑体" w:hAnsi="黑体" w:eastAsia="黑体" w:cs="黑体"/>
              <w:sz w:val="22"/>
              <w:szCs w:val="22"/>
            </w:rPr>
            <w:t>三、2020年度单位决算情况说明</w:t>
          </w:r>
          <w:r>
            <w:rPr>
              <w:rFonts w:hint="eastAsia" w:ascii="黑体" w:hAnsi="黑体" w:eastAsia="黑体" w:cs="黑体"/>
              <w:sz w:val="22"/>
              <w:szCs w:val="22"/>
            </w:rPr>
            <w:tab/>
          </w:r>
          <w:bookmarkStart w:id="4" w:name="_Toc22898_WPSOffice_Level1Page"/>
          <w:r>
            <w:rPr>
              <w:rFonts w:hint="eastAsia" w:ascii="黑体" w:hAnsi="黑体" w:eastAsia="黑体" w:cs="黑体"/>
              <w:sz w:val="22"/>
              <w:szCs w:val="22"/>
            </w:rPr>
            <w:t>4</w:t>
          </w:r>
          <w:bookmarkEnd w:id="4"/>
          <w:r>
            <w:rPr>
              <w:rFonts w:hint="eastAsia" w:ascii="黑体" w:hAnsi="黑体" w:eastAsia="黑体" w:cs="黑体"/>
              <w:sz w:val="22"/>
              <w:szCs w:val="22"/>
            </w:rPr>
            <w:fldChar w:fldCharType="end"/>
          </w:r>
        </w:p>
        <w:p>
          <w:pPr>
            <w:pStyle w:val="10"/>
            <w:tabs>
              <w:tab w:val="right" w:leader="dot" w:pos="8640"/>
            </w:tabs>
            <w:spacing w:line="520" w:lineRule="exact"/>
            <w:ind w:left="420"/>
            <w:rPr>
              <w:rFonts w:ascii="黑体" w:hAnsi="黑体" w:eastAsia="黑体" w:cs="黑体"/>
              <w:sz w:val="22"/>
              <w:szCs w:val="22"/>
            </w:rPr>
          </w:pPr>
          <w:r>
            <w:fldChar w:fldCharType="begin"/>
          </w:r>
          <w:r>
            <w:instrText xml:space="preserve"> HYPERLINK \l "_Toc1368_WPSOffice_Level2" </w:instrText>
          </w:r>
          <w:r>
            <w:fldChar w:fldCharType="separate"/>
          </w:r>
          <w:r>
            <w:rPr>
              <w:rFonts w:hint="eastAsia" w:ascii="黑体" w:hAnsi="黑体" w:eastAsia="黑体" w:cs="黑体"/>
              <w:sz w:val="22"/>
              <w:szCs w:val="22"/>
            </w:rPr>
            <w:t>（一）收入支出决算总体情况说明</w:t>
          </w:r>
          <w:r>
            <w:rPr>
              <w:rFonts w:hint="eastAsia" w:ascii="黑体" w:hAnsi="黑体" w:eastAsia="黑体" w:cs="黑体"/>
              <w:sz w:val="22"/>
              <w:szCs w:val="22"/>
            </w:rPr>
            <w:tab/>
          </w:r>
          <w:bookmarkStart w:id="5" w:name="_Toc1368_WPSOffice_Level2Page"/>
          <w:r>
            <w:rPr>
              <w:rFonts w:hint="eastAsia" w:ascii="黑体" w:hAnsi="黑体" w:eastAsia="黑体" w:cs="黑体"/>
              <w:sz w:val="22"/>
              <w:szCs w:val="22"/>
            </w:rPr>
            <w:t>4</w:t>
          </w:r>
          <w:bookmarkEnd w:id="5"/>
          <w:r>
            <w:rPr>
              <w:rFonts w:hint="eastAsia" w:ascii="黑体" w:hAnsi="黑体" w:eastAsia="黑体" w:cs="黑体"/>
              <w:sz w:val="22"/>
              <w:szCs w:val="22"/>
            </w:rPr>
            <w:fldChar w:fldCharType="end"/>
          </w:r>
        </w:p>
        <w:p>
          <w:pPr>
            <w:pStyle w:val="10"/>
            <w:tabs>
              <w:tab w:val="right" w:leader="dot" w:pos="8640"/>
            </w:tabs>
            <w:spacing w:line="520" w:lineRule="exact"/>
            <w:ind w:left="420"/>
            <w:rPr>
              <w:rFonts w:ascii="黑体" w:hAnsi="黑体" w:eastAsia="黑体" w:cs="黑体"/>
              <w:sz w:val="22"/>
              <w:szCs w:val="22"/>
            </w:rPr>
          </w:pPr>
          <w:r>
            <w:fldChar w:fldCharType="begin"/>
          </w:r>
          <w:r>
            <w:instrText xml:space="preserve"> HYPERLINK \l "_Toc501_WPSOffice_Level2" </w:instrText>
          </w:r>
          <w:r>
            <w:fldChar w:fldCharType="separate"/>
          </w:r>
          <w:r>
            <w:rPr>
              <w:rFonts w:hint="eastAsia" w:ascii="黑体" w:hAnsi="黑体" w:eastAsia="黑体" w:cs="黑体"/>
              <w:sz w:val="22"/>
              <w:szCs w:val="22"/>
            </w:rPr>
            <w:t>（二）收入决算情况说明</w:t>
          </w:r>
          <w:r>
            <w:rPr>
              <w:rFonts w:hint="eastAsia" w:ascii="黑体" w:hAnsi="黑体" w:eastAsia="黑体" w:cs="黑体"/>
              <w:sz w:val="22"/>
              <w:szCs w:val="22"/>
            </w:rPr>
            <w:tab/>
          </w:r>
          <w:bookmarkStart w:id="6" w:name="_Toc501_WPSOffice_Level2Page"/>
          <w:r>
            <w:rPr>
              <w:rFonts w:hint="eastAsia" w:ascii="黑体" w:hAnsi="黑体" w:eastAsia="黑体" w:cs="黑体"/>
              <w:sz w:val="22"/>
              <w:szCs w:val="22"/>
            </w:rPr>
            <w:t>4</w:t>
          </w:r>
          <w:bookmarkEnd w:id="6"/>
          <w:r>
            <w:rPr>
              <w:rFonts w:hint="eastAsia" w:ascii="黑体" w:hAnsi="黑体" w:eastAsia="黑体" w:cs="黑体"/>
              <w:sz w:val="22"/>
              <w:szCs w:val="22"/>
            </w:rPr>
            <w:fldChar w:fldCharType="end"/>
          </w:r>
        </w:p>
        <w:p>
          <w:pPr>
            <w:pStyle w:val="10"/>
            <w:tabs>
              <w:tab w:val="right" w:leader="dot" w:pos="8640"/>
            </w:tabs>
            <w:spacing w:line="520" w:lineRule="exact"/>
            <w:ind w:left="420"/>
            <w:rPr>
              <w:rFonts w:ascii="黑体" w:hAnsi="黑体" w:eastAsia="黑体" w:cs="黑体"/>
              <w:sz w:val="22"/>
              <w:szCs w:val="22"/>
            </w:rPr>
          </w:pPr>
          <w:r>
            <w:fldChar w:fldCharType="begin"/>
          </w:r>
          <w:r>
            <w:instrText xml:space="preserve"> HYPERLINK \l "_Toc21863_WPSOffice_Level2" </w:instrText>
          </w:r>
          <w:r>
            <w:fldChar w:fldCharType="separate"/>
          </w:r>
          <w:r>
            <w:rPr>
              <w:rFonts w:hint="eastAsia" w:ascii="黑体" w:hAnsi="黑体" w:eastAsia="黑体" w:cs="黑体"/>
              <w:sz w:val="22"/>
              <w:szCs w:val="22"/>
            </w:rPr>
            <w:t>（三）支出决算情况说明</w:t>
          </w:r>
          <w:r>
            <w:rPr>
              <w:rFonts w:hint="eastAsia" w:ascii="黑体" w:hAnsi="黑体" w:eastAsia="黑体" w:cs="黑体"/>
              <w:sz w:val="22"/>
              <w:szCs w:val="22"/>
            </w:rPr>
            <w:tab/>
          </w:r>
          <w:bookmarkStart w:id="7" w:name="_Toc21863_WPSOffice_Level2Page"/>
          <w:r>
            <w:rPr>
              <w:rFonts w:hint="eastAsia" w:ascii="黑体" w:hAnsi="黑体" w:eastAsia="黑体" w:cs="黑体"/>
              <w:sz w:val="22"/>
              <w:szCs w:val="22"/>
            </w:rPr>
            <w:t>4</w:t>
          </w:r>
          <w:bookmarkEnd w:id="7"/>
          <w:r>
            <w:rPr>
              <w:rFonts w:hint="eastAsia" w:ascii="黑体" w:hAnsi="黑体" w:eastAsia="黑体" w:cs="黑体"/>
              <w:sz w:val="22"/>
              <w:szCs w:val="22"/>
            </w:rPr>
            <w:fldChar w:fldCharType="end"/>
          </w:r>
        </w:p>
        <w:p>
          <w:pPr>
            <w:pStyle w:val="10"/>
            <w:tabs>
              <w:tab w:val="right" w:leader="dot" w:pos="8640"/>
            </w:tabs>
            <w:spacing w:line="520" w:lineRule="exact"/>
            <w:ind w:left="420"/>
            <w:rPr>
              <w:rFonts w:ascii="黑体" w:hAnsi="黑体" w:eastAsia="黑体" w:cs="黑体"/>
              <w:sz w:val="22"/>
              <w:szCs w:val="22"/>
            </w:rPr>
          </w:pPr>
          <w:r>
            <w:fldChar w:fldCharType="begin"/>
          </w:r>
          <w:r>
            <w:instrText xml:space="preserve"> HYPERLINK \l "_Toc24740_WPSOffice_Level2" </w:instrText>
          </w:r>
          <w:r>
            <w:fldChar w:fldCharType="separate"/>
          </w:r>
          <w:r>
            <w:rPr>
              <w:rFonts w:hint="eastAsia" w:ascii="黑体" w:hAnsi="黑体" w:eastAsia="黑体" w:cs="黑体"/>
              <w:sz w:val="22"/>
              <w:szCs w:val="22"/>
            </w:rPr>
            <w:t>（四）财政拨款收入支出决算总体情况说明</w:t>
          </w:r>
          <w:r>
            <w:rPr>
              <w:rFonts w:hint="eastAsia" w:ascii="黑体" w:hAnsi="黑体" w:eastAsia="黑体" w:cs="黑体"/>
              <w:sz w:val="22"/>
              <w:szCs w:val="22"/>
            </w:rPr>
            <w:tab/>
          </w:r>
          <w:bookmarkStart w:id="8" w:name="_Toc24740_WPSOffice_Level2Page"/>
          <w:r>
            <w:rPr>
              <w:rFonts w:hint="eastAsia" w:ascii="黑体" w:hAnsi="黑体" w:eastAsia="黑体" w:cs="黑体"/>
              <w:sz w:val="22"/>
              <w:szCs w:val="22"/>
            </w:rPr>
            <w:t>4</w:t>
          </w:r>
          <w:bookmarkEnd w:id="8"/>
          <w:r>
            <w:rPr>
              <w:rFonts w:hint="eastAsia" w:ascii="黑体" w:hAnsi="黑体" w:eastAsia="黑体" w:cs="黑体"/>
              <w:sz w:val="22"/>
              <w:szCs w:val="22"/>
            </w:rPr>
            <w:fldChar w:fldCharType="end"/>
          </w:r>
        </w:p>
        <w:p>
          <w:pPr>
            <w:pStyle w:val="10"/>
            <w:tabs>
              <w:tab w:val="right" w:leader="dot" w:pos="8640"/>
            </w:tabs>
            <w:spacing w:line="520" w:lineRule="exact"/>
            <w:ind w:left="420"/>
            <w:rPr>
              <w:rFonts w:ascii="黑体" w:hAnsi="黑体" w:eastAsia="黑体" w:cs="黑体"/>
              <w:sz w:val="22"/>
              <w:szCs w:val="22"/>
            </w:rPr>
          </w:pPr>
          <w:r>
            <w:fldChar w:fldCharType="begin"/>
          </w:r>
          <w:r>
            <w:instrText xml:space="preserve"> HYPERLINK \l "_Toc18915_WPSOffice_Level2" </w:instrText>
          </w:r>
          <w:r>
            <w:fldChar w:fldCharType="separate"/>
          </w:r>
          <w:r>
            <w:rPr>
              <w:rFonts w:hint="eastAsia" w:ascii="黑体" w:hAnsi="黑体" w:eastAsia="黑体" w:cs="黑体"/>
              <w:sz w:val="22"/>
              <w:szCs w:val="22"/>
            </w:rPr>
            <w:t>（五）一般公共预算财政拨款支出决算情况说明</w:t>
          </w:r>
          <w:r>
            <w:rPr>
              <w:rFonts w:hint="eastAsia" w:ascii="黑体" w:hAnsi="黑体" w:eastAsia="黑体" w:cs="黑体"/>
              <w:sz w:val="22"/>
              <w:szCs w:val="22"/>
            </w:rPr>
            <w:tab/>
          </w:r>
          <w:bookmarkStart w:id="9" w:name="_Toc18915_WPSOffice_Level2Page"/>
          <w:r>
            <w:rPr>
              <w:rFonts w:hint="eastAsia" w:ascii="黑体" w:hAnsi="黑体" w:eastAsia="黑体" w:cs="黑体"/>
              <w:sz w:val="22"/>
              <w:szCs w:val="22"/>
            </w:rPr>
            <w:t>5</w:t>
          </w:r>
          <w:bookmarkEnd w:id="9"/>
          <w:r>
            <w:rPr>
              <w:rFonts w:hint="eastAsia" w:ascii="黑体" w:hAnsi="黑体" w:eastAsia="黑体" w:cs="黑体"/>
              <w:sz w:val="22"/>
              <w:szCs w:val="22"/>
            </w:rPr>
            <w:fldChar w:fldCharType="end"/>
          </w:r>
        </w:p>
        <w:p>
          <w:pPr>
            <w:pStyle w:val="10"/>
            <w:tabs>
              <w:tab w:val="right" w:leader="dot" w:pos="8640"/>
            </w:tabs>
            <w:spacing w:line="520" w:lineRule="exact"/>
            <w:ind w:left="420"/>
            <w:rPr>
              <w:rFonts w:ascii="黑体" w:hAnsi="黑体" w:eastAsia="黑体" w:cs="黑体"/>
              <w:sz w:val="22"/>
              <w:szCs w:val="22"/>
            </w:rPr>
          </w:pPr>
          <w:r>
            <w:fldChar w:fldCharType="begin"/>
          </w:r>
          <w:r>
            <w:instrText xml:space="preserve"> HYPERLINK \l "_Toc23089_WPSOffice_Level2" </w:instrText>
          </w:r>
          <w:r>
            <w:fldChar w:fldCharType="separate"/>
          </w:r>
          <w:r>
            <w:rPr>
              <w:rFonts w:hint="eastAsia" w:ascii="黑体" w:hAnsi="黑体" w:eastAsia="黑体" w:cs="黑体"/>
              <w:sz w:val="22"/>
              <w:szCs w:val="22"/>
            </w:rPr>
            <w:t>（六）一般公共预算财政拨款基本支出决算情况说明</w:t>
          </w:r>
          <w:r>
            <w:rPr>
              <w:rFonts w:hint="eastAsia" w:ascii="黑体" w:hAnsi="黑体" w:eastAsia="黑体" w:cs="黑体"/>
              <w:sz w:val="22"/>
              <w:szCs w:val="22"/>
            </w:rPr>
            <w:tab/>
          </w:r>
          <w:bookmarkStart w:id="10" w:name="_Toc23089_WPSOffice_Level2Page"/>
          <w:r>
            <w:rPr>
              <w:rFonts w:hint="eastAsia" w:ascii="黑体" w:hAnsi="黑体" w:eastAsia="黑体" w:cs="黑体"/>
              <w:sz w:val="22"/>
              <w:szCs w:val="22"/>
            </w:rPr>
            <w:t>9</w:t>
          </w:r>
          <w:bookmarkEnd w:id="10"/>
          <w:r>
            <w:rPr>
              <w:rFonts w:hint="eastAsia" w:ascii="黑体" w:hAnsi="黑体" w:eastAsia="黑体" w:cs="黑体"/>
              <w:sz w:val="22"/>
              <w:szCs w:val="22"/>
            </w:rPr>
            <w:fldChar w:fldCharType="end"/>
          </w:r>
        </w:p>
        <w:p>
          <w:pPr>
            <w:pStyle w:val="10"/>
            <w:tabs>
              <w:tab w:val="right" w:leader="dot" w:pos="8640"/>
            </w:tabs>
            <w:spacing w:line="520" w:lineRule="exact"/>
            <w:ind w:left="420"/>
            <w:rPr>
              <w:rFonts w:ascii="黑体" w:hAnsi="黑体" w:eastAsia="黑体" w:cs="黑体"/>
              <w:sz w:val="22"/>
              <w:szCs w:val="22"/>
            </w:rPr>
          </w:pPr>
          <w:r>
            <w:fldChar w:fldCharType="begin"/>
          </w:r>
          <w:r>
            <w:instrText xml:space="preserve"> HYPERLINK \l "_Toc15954_WPSOffice_Level2" </w:instrText>
          </w:r>
          <w:r>
            <w:fldChar w:fldCharType="separate"/>
          </w:r>
          <w:r>
            <w:rPr>
              <w:rFonts w:hint="eastAsia" w:ascii="黑体" w:hAnsi="黑体" w:eastAsia="黑体" w:cs="黑体"/>
              <w:sz w:val="22"/>
              <w:szCs w:val="22"/>
            </w:rPr>
            <w:t>（七） 政府性基金预算财政拨款支出决算总体情况说明</w:t>
          </w:r>
          <w:r>
            <w:rPr>
              <w:rFonts w:hint="eastAsia" w:ascii="黑体" w:hAnsi="黑体" w:eastAsia="黑体" w:cs="黑体"/>
              <w:sz w:val="22"/>
              <w:szCs w:val="22"/>
            </w:rPr>
            <w:tab/>
          </w:r>
          <w:bookmarkStart w:id="11" w:name="_Toc15954_WPSOffice_Level2Page"/>
          <w:r>
            <w:rPr>
              <w:rFonts w:hint="eastAsia" w:ascii="黑体" w:hAnsi="黑体" w:eastAsia="黑体" w:cs="黑体"/>
              <w:sz w:val="22"/>
              <w:szCs w:val="22"/>
            </w:rPr>
            <w:t>9</w:t>
          </w:r>
          <w:bookmarkEnd w:id="11"/>
          <w:r>
            <w:rPr>
              <w:rFonts w:hint="eastAsia" w:ascii="黑体" w:hAnsi="黑体" w:eastAsia="黑体" w:cs="黑体"/>
              <w:sz w:val="22"/>
              <w:szCs w:val="22"/>
            </w:rPr>
            <w:fldChar w:fldCharType="end"/>
          </w:r>
        </w:p>
        <w:p>
          <w:pPr>
            <w:pStyle w:val="10"/>
            <w:tabs>
              <w:tab w:val="right" w:leader="dot" w:pos="8640"/>
            </w:tabs>
            <w:spacing w:line="520" w:lineRule="exact"/>
            <w:ind w:left="420"/>
            <w:rPr>
              <w:rFonts w:ascii="黑体" w:hAnsi="黑体" w:eastAsia="黑体" w:cs="黑体"/>
              <w:sz w:val="22"/>
              <w:szCs w:val="22"/>
            </w:rPr>
          </w:pPr>
          <w:r>
            <w:fldChar w:fldCharType="begin"/>
          </w:r>
          <w:r>
            <w:instrText xml:space="preserve"> HYPERLINK \l "_Toc10047_WPSOffice_Level2" </w:instrText>
          </w:r>
          <w:r>
            <w:fldChar w:fldCharType="separate"/>
          </w:r>
          <w:r>
            <w:rPr>
              <w:rFonts w:hint="eastAsia" w:ascii="黑体" w:hAnsi="黑体" w:eastAsia="黑体" w:cs="黑体"/>
              <w:sz w:val="22"/>
              <w:szCs w:val="22"/>
            </w:rPr>
            <w:t>（八） 国有资本经营预算财政拨款支出决算总体情况说明</w:t>
          </w:r>
          <w:r>
            <w:rPr>
              <w:rFonts w:hint="eastAsia" w:ascii="黑体" w:hAnsi="黑体" w:eastAsia="黑体" w:cs="黑体"/>
              <w:sz w:val="22"/>
              <w:szCs w:val="22"/>
            </w:rPr>
            <w:tab/>
          </w:r>
          <w:bookmarkStart w:id="12" w:name="_Toc10047_WPSOffice_Level2Page"/>
          <w:r>
            <w:rPr>
              <w:rFonts w:hint="eastAsia" w:ascii="黑体" w:hAnsi="黑体" w:eastAsia="黑体" w:cs="黑体"/>
              <w:sz w:val="22"/>
              <w:szCs w:val="22"/>
            </w:rPr>
            <w:t>10</w:t>
          </w:r>
          <w:bookmarkEnd w:id="12"/>
          <w:r>
            <w:rPr>
              <w:rFonts w:hint="eastAsia" w:ascii="黑体" w:hAnsi="黑体" w:eastAsia="黑体" w:cs="黑体"/>
              <w:sz w:val="22"/>
              <w:szCs w:val="22"/>
            </w:rPr>
            <w:fldChar w:fldCharType="end"/>
          </w:r>
        </w:p>
        <w:p>
          <w:pPr>
            <w:pStyle w:val="10"/>
            <w:tabs>
              <w:tab w:val="right" w:leader="dot" w:pos="8640"/>
            </w:tabs>
            <w:spacing w:line="520" w:lineRule="exact"/>
            <w:ind w:left="420"/>
            <w:rPr>
              <w:rFonts w:ascii="黑体" w:hAnsi="黑体" w:eastAsia="黑体" w:cs="黑体"/>
              <w:sz w:val="22"/>
              <w:szCs w:val="22"/>
            </w:rPr>
          </w:pPr>
          <w:r>
            <w:fldChar w:fldCharType="begin"/>
          </w:r>
          <w:r>
            <w:instrText xml:space="preserve"> HYPERLINK \l "_Toc28470_WPSOffice_Level2" </w:instrText>
          </w:r>
          <w:r>
            <w:fldChar w:fldCharType="separate"/>
          </w:r>
          <w:r>
            <w:rPr>
              <w:rFonts w:hint="eastAsia" w:ascii="黑体" w:hAnsi="黑体" w:eastAsia="黑体" w:cs="黑体"/>
              <w:sz w:val="22"/>
              <w:szCs w:val="22"/>
            </w:rPr>
            <w:t>（九）一般公共预算财政拨款“三公”经费支出决算情况说明</w:t>
          </w:r>
          <w:r>
            <w:rPr>
              <w:rFonts w:hint="eastAsia" w:ascii="黑体" w:hAnsi="黑体" w:eastAsia="黑体" w:cs="黑体"/>
              <w:sz w:val="22"/>
              <w:szCs w:val="22"/>
            </w:rPr>
            <w:tab/>
          </w:r>
          <w:bookmarkStart w:id="13" w:name="_Toc28470_WPSOffice_Level2Page"/>
          <w:r>
            <w:rPr>
              <w:rFonts w:hint="eastAsia" w:ascii="黑体" w:hAnsi="黑体" w:eastAsia="黑体" w:cs="黑体"/>
              <w:sz w:val="22"/>
              <w:szCs w:val="22"/>
            </w:rPr>
            <w:t>11</w:t>
          </w:r>
          <w:bookmarkEnd w:id="13"/>
          <w:r>
            <w:rPr>
              <w:rFonts w:hint="eastAsia" w:ascii="黑体" w:hAnsi="黑体" w:eastAsia="黑体" w:cs="黑体"/>
              <w:sz w:val="22"/>
              <w:szCs w:val="22"/>
            </w:rPr>
            <w:fldChar w:fldCharType="end"/>
          </w:r>
        </w:p>
        <w:p>
          <w:pPr>
            <w:pStyle w:val="10"/>
            <w:tabs>
              <w:tab w:val="right" w:leader="dot" w:pos="8640"/>
            </w:tabs>
            <w:spacing w:line="520" w:lineRule="exact"/>
            <w:ind w:left="420"/>
            <w:rPr>
              <w:rFonts w:ascii="黑体" w:hAnsi="黑体" w:eastAsia="黑体" w:cs="黑体"/>
              <w:sz w:val="22"/>
              <w:szCs w:val="22"/>
            </w:rPr>
          </w:pPr>
          <w:r>
            <w:fldChar w:fldCharType="begin"/>
          </w:r>
          <w:r>
            <w:instrText xml:space="preserve"> HYPERLINK \l "_Toc1801_WPSOffice_Level2" </w:instrText>
          </w:r>
          <w:r>
            <w:fldChar w:fldCharType="separate"/>
          </w:r>
          <w:r>
            <w:rPr>
              <w:rFonts w:hint="eastAsia" w:ascii="黑体" w:hAnsi="黑体" w:eastAsia="黑体" w:cs="黑体"/>
              <w:sz w:val="22"/>
              <w:szCs w:val="22"/>
            </w:rPr>
            <w:t>（十）机关运行经费支出说明</w:t>
          </w:r>
          <w:r>
            <w:rPr>
              <w:rFonts w:hint="eastAsia" w:ascii="黑体" w:hAnsi="黑体" w:eastAsia="黑体" w:cs="黑体"/>
              <w:sz w:val="22"/>
              <w:szCs w:val="22"/>
            </w:rPr>
            <w:tab/>
          </w:r>
          <w:bookmarkStart w:id="14" w:name="_Toc1801_WPSOffice_Level2Page"/>
          <w:r>
            <w:rPr>
              <w:rFonts w:hint="eastAsia" w:ascii="黑体" w:hAnsi="黑体" w:eastAsia="黑体" w:cs="黑体"/>
              <w:sz w:val="22"/>
              <w:szCs w:val="22"/>
            </w:rPr>
            <w:t>13</w:t>
          </w:r>
          <w:bookmarkEnd w:id="14"/>
          <w:r>
            <w:rPr>
              <w:rFonts w:hint="eastAsia" w:ascii="黑体" w:hAnsi="黑体" w:eastAsia="黑体" w:cs="黑体"/>
              <w:sz w:val="22"/>
              <w:szCs w:val="22"/>
            </w:rPr>
            <w:fldChar w:fldCharType="end"/>
          </w:r>
        </w:p>
        <w:p>
          <w:pPr>
            <w:pStyle w:val="10"/>
            <w:tabs>
              <w:tab w:val="right" w:leader="dot" w:pos="8640"/>
            </w:tabs>
            <w:spacing w:line="520" w:lineRule="exact"/>
            <w:ind w:left="420"/>
            <w:rPr>
              <w:rFonts w:ascii="黑体" w:hAnsi="黑体" w:eastAsia="黑体" w:cs="黑体"/>
              <w:sz w:val="22"/>
              <w:szCs w:val="22"/>
            </w:rPr>
          </w:pPr>
          <w:r>
            <w:fldChar w:fldCharType="begin"/>
          </w:r>
          <w:r>
            <w:instrText xml:space="preserve"> HYPERLINK \l "_Toc18583_WPSOffice_Level2" </w:instrText>
          </w:r>
          <w:r>
            <w:fldChar w:fldCharType="separate"/>
          </w:r>
          <w:r>
            <w:rPr>
              <w:rFonts w:hint="eastAsia" w:ascii="黑体" w:hAnsi="黑体" w:eastAsia="黑体" w:cs="黑体"/>
              <w:sz w:val="22"/>
              <w:szCs w:val="22"/>
            </w:rPr>
            <w:t>（十一）政府采购支出说明</w:t>
          </w:r>
          <w:r>
            <w:rPr>
              <w:rFonts w:hint="eastAsia" w:ascii="黑体" w:hAnsi="黑体" w:eastAsia="黑体" w:cs="黑体"/>
              <w:sz w:val="22"/>
              <w:szCs w:val="22"/>
            </w:rPr>
            <w:tab/>
          </w:r>
          <w:bookmarkStart w:id="15" w:name="_Toc18583_WPSOffice_Level2Page"/>
          <w:r>
            <w:rPr>
              <w:rFonts w:hint="eastAsia" w:ascii="黑体" w:hAnsi="黑体" w:eastAsia="黑体" w:cs="黑体"/>
              <w:sz w:val="22"/>
              <w:szCs w:val="22"/>
            </w:rPr>
            <w:t>14</w:t>
          </w:r>
          <w:bookmarkEnd w:id="15"/>
          <w:r>
            <w:rPr>
              <w:rFonts w:hint="eastAsia" w:ascii="黑体" w:hAnsi="黑体" w:eastAsia="黑体" w:cs="黑体"/>
              <w:sz w:val="22"/>
              <w:szCs w:val="22"/>
            </w:rPr>
            <w:fldChar w:fldCharType="end"/>
          </w:r>
        </w:p>
        <w:p>
          <w:pPr>
            <w:pStyle w:val="10"/>
            <w:tabs>
              <w:tab w:val="right" w:leader="dot" w:pos="8640"/>
            </w:tabs>
            <w:spacing w:line="520" w:lineRule="exact"/>
            <w:ind w:left="420"/>
            <w:rPr>
              <w:rFonts w:ascii="黑体" w:hAnsi="黑体" w:eastAsia="黑体" w:cs="黑体"/>
              <w:sz w:val="22"/>
              <w:szCs w:val="22"/>
            </w:rPr>
          </w:pPr>
          <w:r>
            <w:fldChar w:fldCharType="begin"/>
          </w:r>
          <w:r>
            <w:instrText xml:space="preserve"> HYPERLINK \l "_Toc8264_WPSOffice_Level2" </w:instrText>
          </w:r>
          <w:r>
            <w:fldChar w:fldCharType="separate"/>
          </w:r>
          <w:r>
            <w:rPr>
              <w:rFonts w:hint="eastAsia" w:ascii="黑体" w:hAnsi="黑体" w:eastAsia="黑体" w:cs="黑体"/>
              <w:sz w:val="22"/>
              <w:szCs w:val="22"/>
            </w:rPr>
            <w:t>（十二）国有资产占有情况说明</w:t>
          </w:r>
          <w:r>
            <w:rPr>
              <w:rFonts w:hint="eastAsia" w:ascii="黑体" w:hAnsi="黑体" w:eastAsia="黑体" w:cs="黑体"/>
              <w:sz w:val="22"/>
              <w:szCs w:val="22"/>
            </w:rPr>
            <w:tab/>
          </w:r>
          <w:bookmarkStart w:id="16" w:name="_Toc8264_WPSOffice_Level2Page"/>
          <w:r>
            <w:rPr>
              <w:rFonts w:hint="eastAsia" w:ascii="黑体" w:hAnsi="黑体" w:eastAsia="黑体" w:cs="黑体"/>
              <w:sz w:val="22"/>
              <w:szCs w:val="22"/>
            </w:rPr>
            <w:t>14</w:t>
          </w:r>
          <w:bookmarkEnd w:id="16"/>
          <w:r>
            <w:rPr>
              <w:rFonts w:hint="eastAsia" w:ascii="黑体" w:hAnsi="黑体" w:eastAsia="黑体" w:cs="黑体"/>
              <w:sz w:val="22"/>
              <w:szCs w:val="22"/>
            </w:rPr>
            <w:fldChar w:fldCharType="end"/>
          </w:r>
        </w:p>
        <w:p>
          <w:pPr>
            <w:pStyle w:val="10"/>
            <w:tabs>
              <w:tab w:val="right" w:leader="dot" w:pos="8640"/>
            </w:tabs>
            <w:spacing w:line="520" w:lineRule="exact"/>
            <w:ind w:left="420"/>
            <w:rPr>
              <w:rFonts w:ascii="黑体" w:hAnsi="黑体" w:eastAsia="黑体" w:cs="黑体"/>
              <w:sz w:val="22"/>
              <w:szCs w:val="22"/>
            </w:rPr>
          </w:pPr>
          <w:r>
            <w:fldChar w:fldCharType="begin"/>
          </w:r>
          <w:r>
            <w:instrText xml:space="preserve"> HYPERLINK \l "_Toc24023_WPSOffice_Level2" </w:instrText>
          </w:r>
          <w:r>
            <w:fldChar w:fldCharType="separate"/>
          </w:r>
          <w:r>
            <w:rPr>
              <w:rFonts w:hint="eastAsia" w:ascii="黑体" w:hAnsi="黑体" w:eastAsia="黑体" w:cs="黑体"/>
              <w:sz w:val="22"/>
              <w:szCs w:val="22"/>
            </w:rPr>
            <w:t>（十三）预算绩效情况说明</w:t>
          </w:r>
          <w:r>
            <w:rPr>
              <w:rFonts w:hint="eastAsia" w:ascii="黑体" w:hAnsi="黑体" w:eastAsia="黑体" w:cs="黑体"/>
              <w:sz w:val="22"/>
              <w:szCs w:val="22"/>
            </w:rPr>
            <w:tab/>
          </w:r>
          <w:bookmarkStart w:id="17" w:name="_Toc24023_WPSOffice_Level2Page"/>
          <w:r>
            <w:rPr>
              <w:rFonts w:hint="eastAsia" w:ascii="黑体" w:hAnsi="黑体" w:eastAsia="黑体" w:cs="黑体"/>
              <w:sz w:val="22"/>
              <w:szCs w:val="22"/>
            </w:rPr>
            <w:t>14</w:t>
          </w:r>
          <w:bookmarkEnd w:id="17"/>
          <w:r>
            <w:rPr>
              <w:rFonts w:hint="eastAsia" w:ascii="黑体" w:hAnsi="黑体" w:eastAsia="黑体" w:cs="黑体"/>
              <w:sz w:val="22"/>
              <w:szCs w:val="22"/>
            </w:rPr>
            <w:fldChar w:fldCharType="end"/>
          </w:r>
        </w:p>
        <w:p>
          <w:pPr>
            <w:pStyle w:val="9"/>
            <w:tabs>
              <w:tab w:val="right" w:leader="dot" w:pos="8640"/>
            </w:tabs>
            <w:spacing w:line="520" w:lineRule="exact"/>
            <w:rPr>
              <w:rFonts w:ascii="黑体" w:hAnsi="黑体" w:eastAsia="黑体" w:cs="黑体"/>
              <w:sz w:val="22"/>
              <w:szCs w:val="22"/>
            </w:rPr>
          </w:pPr>
          <w:r>
            <w:fldChar w:fldCharType="begin"/>
          </w:r>
          <w:r>
            <w:instrText xml:space="preserve"> HYPERLINK \l "_Toc1368_WPSOffice_Level1" </w:instrText>
          </w:r>
          <w:r>
            <w:fldChar w:fldCharType="separate"/>
          </w:r>
          <w:r>
            <w:rPr>
              <w:rFonts w:hint="eastAsia" w:ascii="黑体" w:hAnsi="黑体" w:eastAsia="黑体" w:cs="黑体"/>
              <w:sz w:val="22"/>
              <w:szCs w:val="22"/>
            </w:rPr>
            <w:t>四、名词解释</w:t>
          </w:r>
          <w:r>
            <w:rPr>
              <w:rFonts w:hint="eastAsia" w:ascii="黑体" w:hAnsi="黑体" w:eastAsia="黑体" w:cs="黑体"/>
              <w:sz w:val="22"/>
              <w:szCs w:val="22"/>
            </w:rPr>
            <w:tab/>
          </w:r>
          <w:bookmarkStart w:id="18" w:name="_Toc1368_WPSOffice_Level1Page"/>
          <w:r>
            <w:rPr>
              <w:rFonts w:hint="eastAsia" w:ascii="黑体" w:hAnsi="黑体" w:eastAsia="黑体" w:cs="黑体"/>
              <w:sz w:val="22"/>
              <w:szCs w:val="22"/>
            </w:rPr>
            <w:t>20</w:t>
          </w:r>
          <w:bookmarkEnd w:id="18"/>
          <w:r>
            <w:rPr>
              <w:rFonts w:hint="eastAsia" w:ascii="黑体" w:hAnsi="黑体" w:eastAsia="黑体" w:cs="黑体"/>
              <w:sz w:val="22"/>
              <w:szCs w:val="22"/>
            </w:rPr>
            <w:fldChar w:fldCharType="end"/>
          </w:r>
        </w:p>
      </w:sdtContent>
    </w:sdt>
    <w:p>
      <w:pPr>
        <w:spacing w:line="560" w:lineRule="exact"/>
        <w:jc w:val="left"/>
        <w:rPr>
          <w:rFonts w:ascii="黑体" w:hAnsi="黑体" w:eastAsia="黑体" w:cs="黑体"/>
          <w:color w:val="000000"/>
          <w:sz w:val="32"/>
          <w:szCs w:val="32"/>
          <w:highlight w:val="white"/>
        </w:rPr>
      </w:pPr>
    </w:p>
    <w:p>
      <w:pPr>
        <w:spacing w:line="324" w:lineRule="auto"/>
        <w:ind w:firstLine="321" w:firstLineChars="100"/>
        <w:outlineLvl w:val="0"/>
        <w:rPr>
          <w:rFonts w:ascii="黑体" w:hAnsi="黑体" w:eastAsia="黑体"/>
          <w:b/>
          <w:sz w:val="32"/>
        </w:rPr>
      </w:pPr>
      <w:bookmarkStart w:id="19" w:name="_Toc21847_WPSOffice_Level1"/>
      <w:r>
        <w:rPr>
          <w:rFonts w:hint="eastAsia" w:ascii="黑体" w:hAnsi="黑体" w:eastAsia="黑体"/>
          <w:b/>
          <w:sz w:val="32"/>
        </w:rPr>
        <w:t>一、概况</w:t>
      </w:r>
      <w:bookmarkEnd w:id="19"/>
    </w:p>
    <w:p>
      <w:pPr>
        <w:spacing w:line="324" w:lineRule="auto"/>
        <w:ind w:firstLine="594"/>
        <w:outlineLvl w:val="1"/>
        <w:rPr>
          <w:rFonts w:ascii="楷体" w:hAnsi="楷体" w:eastAsia="楷体"/>
          <w:b/>
          <w:sz w:val="32"/>
        </w:rPr>
      </w:pPr>
      <w:bookmarkStart w:id="20" w:name="_Toc6118_WPSOffice_Level2"/>
      <w:r>
        <w:rPr>
          <w:rFonts w:hint="eastAsia" w:ascii="楷体" w:hAnsi="楷体" w:eastAsia="楷体"/>
          <w:b/>
          <w:sz w:val="32"/>
        </w:rPr>
        <w:t>（一）单位职责</w:t>
      </w:r>
      <w:bookmarkEnd w:id="20"/>
    </w:p>
    <w:p>
      <w:pPr>
        <w:spacing w:line="324" w:lineRule="auto"/>
        <w:ind w:firstLine="640" w:firstLineChars="200"/>
        <w:rPr>
          <w:rFonts w:ascii="仿宋" w:hAnsi="仿宋" w:eastAsia="仿宋"/>
          <w:sz w:val="32"/>
        </w:rPr>
      </w:pPr>
      <w:r>
        <w:rPr>
          <w:rFonts w:hint="eastAsia" w:ascii="仿宋" w:hAnsi="仿宋" w:eastAsia="仿宋"/>
          <w:sz w:val="32"/>
        </w:rPr>
        <w:t xml:space="preserve">1.承担贯彻落实促进就业创业相关法律、法规和政策的行政辅助工作，承担拟订实施就业创业发展专项规划、年度工作计划的行政辅助工作； </w:t>
      </w:r>
    </w:p>
    <w:p>
      <w:pPr>
        <w:spacing w:line="324" w:lineRule="auto"/>
        <w:ind w:firstLine="594"/>
        <w:rPr>
          <w:rFonts w:ascii="仿宋" w:hAnsi="仿宋" w:eastAsia="仿宋"/>
          <w:sz w:val="32"/>
        </w:rPr>
      </w:pPr>
      <w:r>
        <w:rPr>
          <w:rFonts w:hint="eastAsia" w:ascii="仿宋" w:hAnsi="仿宋" w:eastAsia="仿宋"/>
          <w:sz w:val="32"/>
        </w:rPr>
        <w:t xml:space="preserve">2.开展特殊群体就业扶持和就业援助，落实就业监测和就业登记制度，实施企业用工动态监测和情况分析的行政辅助工作； </w:t>
      </w:r>
    </w:p>
    <w:p>
      <w:pPr>
        <w:spacing w:line="324" w:lineRule="auto"/>
        <w:ind w:firstLine="594"/>
        <w:rPr>
          <w:rFonts w:ascii="仿宋" w:hAnsi="仿宋" w:eastAsia="仿宋"/>
          <w:sz w:val="32"/>
        </w:rPr>
      </w:pPr>
      <w:r>
        <w:rPr>
          <w:rFonts w:hint="eastAsia" w:ascii="仿宋" w:hAnsi="仿宋" w:eastAsia="仿宋"/>
          <w:sz w:val="32"/>
        </w:rPr>
        <w:t>3.开展公共创业服务的行政辅助工作，承担组织实施城乡劳动力创业培训，开展认定、管理和服务创业培训机构的行政辅助工作；</w:t>
      </w:r>
    </w:p>
    <w:p>
      <w:pPr>
        <w:pStyle w:val="2"/>
        <w:ind w:firstLine="640" w:firstLineChars="200"/>
        <w:rPr>
          <w:rFonts w:hint="default" w:ascii="仿宋" w:hAnsi="仿宋" w:eastAsia="仿宋"/>
          <w:color w:val="auto"/>
          <w:kern w:val="2"/>
          <w:sz w:val="32"/>
          <w:szCs w:val="20"/>
        </w:rPr>
      </w:pPr>
      <w:r>
        <w:rPr>
          <w:rFonts w:ascii="仿宋" w:hAnsi="仿宋" w:eastAsia="仿宋"/>
          <w:color w:val="auto"/>
          <w:kern w:val="2"/>
          <w:sz w:val="32"/>
          <w:szCs w:val="20"/>
        </w:rPr>
        <w:t xml:space="preserve">4.落实失业预警和失业登记制度，组织失业统计监测、调查统计，开展失业人员动态管理和职业指导的行政辅助工作； </w:t>
      </w:r>
    </w:p>
    <w:p>
      <w:pPr>
        <w:pStyle w:val="2"/>
        <w:ind w:firstLine="640" w:firstLineChars="200"/>
        <w:rPr>
          <w:rFonts w:hint="default" w:ascii="仿宋" w:hAnsi="仿宋" w:eastAsia="仿宋"/>
          <w:color w:val="auto"/>
          <w:kern w:val="2"/>
          <w:sz w:val="32"/>
          <w:szCs w:val="20"/>
        </w:rPr>
      </w:pPr>
      <w:r>
        <w:rPr>
          <w:rFonts w:ascii="仿宋" w:hAnsi="仿宋" w:eastAsia="仿宋"/>
          <w:color w:val="auto"/>
          <w:kern w:val="2"/>
          <w:sz w:val="32"/>
          <w:szCs w:val="20"/>
        </w:rPr>
        <w:t xml:space="preserve">5.承担就业补助资金和失业保险基金〔以下简称资金（基金）〕筹集预算、使用管理的行政辅助工作。开展资金（基金）稽核检查和风险预防工作； </w:t>
      </w:r>
    </w:p>
    <w:p>
      <w:pPr>
        <w:pStyle w:val="2"/>
        <w:ind w:firstLine="640" w:firstLineChars="200"/>
        <w:rPr>
          <w:rFonts w:hint="default" w:ascii="仿宋" w:hAnsi="仿宋" w:eastAsia="仿宋"/>
          <w:color w:val="auto"/>
          <w:kern w:val="2"/>
          <w:sz w:val="32"/>
          <w:szCs w:val="20"/>
        </w:rPr>
      </w:pPr>
      <w:r>
        <w:rPr>
          <w:rFonts w:ascii="仿宋" w:hAnsi="仿宋" w:eastAsia="仿宋"/>
          <w:color w:val="auto"/>
          <w:kern w:val="2"/>
          <w:sz w:val="32"/>
          <w:szCs w:val="20"/>
        </w:rPr>
        <w:t xml:space="preserve">6.承担开展公共就业服务能力建设，组织就业创业和失业保险政策咨询，指导全县基层劳动保障工作平台建设，规范公共就业服务信息管理，开展对外劳务协作、交流合作和开展其它公共就业服务专项活动的行政辅助工作； </w:t>
      </w:r>
    </w:p>
    <w:p>
      <w:pPr>
        <w:pStyle w:val="2"/>
        <w:ind w:firstLine="640" w:firstLineChars="200"/>
        <w:rPr>
          <w:rFonts w:hint="default" w:ascii="仿宋" w:hAnsi="仿宋" w:eastAsia="仿宋"/>
          <w:color w:val="auto"/>
          <w:kern w:val="2"/>
          <w:sz w:val="32"/>
          <w:szCs w:val="20"/>
        </w:rPr>
      </w:pPr>
      <w:r>
        <w:rPr>
          <w:rFonts w:ascii="仿宋" w:hAnsi="仿宋" w:eastAsia="仿宋"/>
          <w:color w:val="auto"/>
          <w:kern w:val="2"/>
          <w:sz w:val="32"/>
          <w:szCs w:val="20"/>
        </w:rPr>
        <w:t xml:space="preserve">7.承担发展家庭服务业促进就业的行政辅助工作； </w:t>
      </w:r>
    </w:p>
    <w:p>
      <w:pPr>
        <w:pStyle w:val="2"/>
        <w:ind w:firstLine="640" w:firstLineChars="200"/>
        <w:rPr>
          <w:rFonts w:hint="default"/>
          <w:color w:val="auto"/>
        </w:rPr>
      </w:pPr>
      <w:r>
        <w:rPr>
          <w:rFonts w:ascii="仿宋" w:hAnsi="仿宋" w:eastAsia="仿宋"/>
          <w:color w:val="auto"/>
          <w:kern w:val="2"/>
          <w:sz w:val="32"/>
          <w:szCs w:val="20"/>
        </w:rPr>
        <w:t xml:space="preserve">8.负责对本县（乡镇、街道）公共就业服务机构人员培训和业务指导工作。 </w:t>
      </w:r>
    </w:p>
    <w:p>
      <w:pPr>
        <w:spacing w:line="324" w:lineRule="auto"/>
        <w:ind w:firstLine="594"/>
        <w:outlineLvl w:val="1"/>
        <w:rPr>
          <w:rFonts w:eastAsia="Times New Roman"/>
          <w:b/>
          <w:sz w:val="32"/>
        </w:rPr>
      </w:pPr>
      <w:bookmarkStart w:id="21" w:name="_Toc22898_WPSOffice_Level2"/>
      <w:r>
        <w:rPr>
          <w:rFonts w:hint="eastAsia" w:ascii="楷体" w:hAnsi="楷体" w:eastAsia="楷体"/>
          <w:b/>
          <w:sz w:val="32"/>
        </w:rPr>
        <w:t>（二）机构设置</w:t>
      </w:r>
      <w:bookmarkEnd w:id="21"/>
    </w:p>
    <w:p>
      <w:pPr>
        <w:spacing w:line="324" w:lineRule="auto"/>
        <w:ind w:firstLine="594"/>
        <w:rPr>
          <w:rFonts w:ascii="仿宋" w:hAnsi="仿宋" w:eastAsia="仿宋"/>
          <w:sz w:val="32"/>
        </w:rPr>
      </w:pPr>
      <w:r>
        <w:rPr>
          <w:rFonts w:hint="eastAsia" w:ascii="仿宋" w:hAnsi="仿宋" w:eastAsia="仿宋"/>
          <w:sz w:val="32"/>
        </w:rPr>
        <w:t>从预算单位构成看，本单位内设：办公室、就业创业科、失业保险科。</w:t>
      </w:r>
    </w:p>
    <w:p>
      <w:pPr>
        <w:spacing w:line="324" w:lineRule="auto"/>
        <w:ind w:firstLine="600"/>
        <w:outlineLvl w:val="0"/>
        <w:rPr>
          <w:rFonts w:ascii="黑体" w:hAnsi="黑体" w:eastAsia="黑体"/>
          <w:b/>
          <w:sz w:val="32"/>
        </w:rPr>
      </w:pPr>
      <w:bookmarkStart w:id="22" w:name="_Toc6118_WPSOffice_Level1"/>
      <w:r>
        <w:rPr>
          <w:rFonts w:hint="eastAsia" w:ascii="黑体" w:hAnsi="黑体" w:eastAsia="黑体"/>
          <w:b/>
          <w:sz w:val="32"/>
        </w:rPr>
        <w:t>二、2020年度单位决算公开表</w:t>
      </w:r>
      <w:bookmarkEnd w:id="22"/>
    </w:p>
    <w:p>
      <w:pPr>
        <w:spacing w:line="324" w:lineRule="auto"/>
        <w:ind w:firstLine="594"/>
        <w:rPr>
          <w:rFonts w:eastAsia="Times New Roman"/>
          <w:sz w:val="32"/>
        </w:rPr>
      </w:pPr>
      <w:r>
        <w:rPr>
          <w:rFonts w:hint="eastAsia" w:ascii="仿宋" w:hAnsi="仿宋" w:eastAsia="仿宋"/>
          <w:sz w:val="32"/>
        </w:rPr>
        <w:t>详见附表</w:t>
      </w:r>
      <w:r>
        <w:rPr>
          <w:rFonts w:hint="eastAsia" w:ascii="仿宋_GB2312" w:hAnsi="仿宋_GB2312" w:eastAsia="仿宋_GB2312"/>
          <w:sz w:val="32"/>
        </w:rPr>
        <w:t>。</w:t>
      </w:r>
    </w:p>
    <w:p>
      <w:pPr>
        <w:spacing w:line="324" w:lineRule="auto"/>
        <w:ind w:firstLine="594"/>
        <w:outlineLvl w:val="0"/>
        <w:rPr>
          <w:rFonts w:eastAsia="Times New Roman"/>
          <w:b/>
          <w:sz w:val="32"/>
        </w:rPr>
      </w:pPr>
      <w:bookmarkStart w:id="23" w:name="_Toc22898_WPSOffice_Level1"/>
      <w:r>
        <w:rPr>
          <w:rFonts w:hint="eastAsia" w:ascii="黑体" w:hAnsi="黑体" w:eastAsia="黑体"/>
          <w:b/>
          <w:sz w:val="32"/>
          <w:lang w:val="zh-CN"/>
        </w:rPr>
        <w:t>三、</w:t>
      </w:r>
      <w:r>
        <w:rPr>
          <w:rFonts w:hint="eastAsia" w:ascii="黑体" w:hAnsi="黑体" w:eastAsia="黑体"/>
          <w:b/>
          <w:sz w:val="32"/>
        </w:rPr>
        <w:t>2020年度单位决算情况说明</w:t>
      </w:r>
      <w:bookmarkEnd w:id="23"/>
    </w:p>
    <w:p>
      <w:pPr>
        <w:spacing w:line="324" w:lineRule="auto"/>
        <w:ind w:firstLine="594"/>
        <w:outlineLvl w:val="1"/>
        <w:rPr>
          <w:rFonts w:eastAsia="Times New Roman"/>
          <w:b/>
          <w:sz w:val="32"/>
        </w:rPr>
      </w:pPr>
      <w:bookmarkStart w:id="24" w:name="_Toc1368_WPSOffice_Level2"/>
      <w:r>
        <w:rPr>
          <w:rFonts w:hint="eastAsia" w:ascii="楷体" w:hAnsi="楷体" w:eastAsia="楷体"/>
          <w:b/>
          <w:sz w:val="32"/>
        </w:rPr>
        <w:t>（一）收入支出决算总体情况说明</w:t>
      </w:r>
      <w:bookmarkEnd w:id="24"/>
    </w:p>
    <w:p>
      <w:pPr>
        <w:spacing w:line="324" w:lineRule="auto"/>
        <w:ind w:firstLine="594"/>
        <w:rPr>
          <w:rFonts w:eastAsia="Times New Roman"/>
          <w:b/>
          <w:sz w:val="32"/>
        </w:rPr>
      </w:pPr>
      <w:r>
        <w:rPr>
          <w:rFonts w:hint="eastAsia" w:ascii="仿宋" w:hAnsi="仿宋" w:eastAsia="仿宋"/>
          <w:sz w:val="32"/>
        </w:rPr>
        <w:t>2020年度收入总计776.93万元，支出总计776.93万元,与2019年度相比，各减少43.22万元，下降5.27%。主要原因是：就业补助资金中一部分职业技能培训补贴从职业技能提升行动资金中支出，导致项目支出减少。</w:t>
      </w:r>
    </w:p>
    <w:p>
      <w:pPr>
        <w:spacing w:line="324" w:lineRule="auto"/>
        <w:ind w:firstLine="594"/>
        <w:outlineLvl w:val="1"/>
        <w:rPr>
          <w:rFonts w:eastAsia="Times New Roman"/>
          <w:b/>
          <w:sz w:val="32"/>
        </w:rPr>
      </w:pPr>
      <w:bookmarkStart w:id="25" w:name="_Toc501_WPSOffice_Level2"/>
      <w:r>
        <w:rPr>
          <w:rFonts w:hint="eastAsia" w:ascii="楷体" w:hAnsi="楷体" w:eastAsia="楷体"/>
          <w:b/>
          <w:sz w:val="32"/>
        </w:rPr>
        <w:t>（二）收入决算情况说明</w:t>
      </w:r>
      <w:bookmarkEnd w:id="25"/>
    </w:p>
    <w:p>
      <w:pPr>
        <w:spacing w:line="324" w:lineRule="auto"/>
        <w:ind w:firstLine="594"/>
        <w:rPr>
          <w:rFonts w:ascii="仿宋" w:hAnsi="仿宋" w:eastAsia="仿宋"/>
          <w:sz w:val="32"/>
        </w:rPr>
      </w:pPr>
      <w:r>
        <w:rPr>
          <w:rFonts w:hint="eastAsia" w:ascii="仿宋" w:hAnsi="仿宋" w:eastAsia="仿宋"/>
          <w:sz w:val="32"/>
        </w:rPr>
        <w:t>本年收入合计776.93万元；包括财政拨款收入776.93万元（其中，一般公共预算776.93万元，政府性基金预算0万元,国有资本经营预算0万元），占收入合计100%；上级补助收入0万元，占收入合计0%；事业收入0万元，占收入合计0%；经营收入0万元，占收入合计0%；附属单位上缴收入0万元，占收入合计0%；其他收入0万元，占收入合计0%。</w:t>
      </w:r>
    </w:p>
    <w:p>
      <w:pPr>
        <w:spacing w:line="324" w:lineRule="auto"/>
        <w:ind w:firstLine="594"/>
        <w:outlineLvl w:val="1"/>
        <w:rPr>
          <w:rFonts w:eastAsia="Times New Roman"/>
          <w:b/>
          <w:sz w:val="32"/>
        </w:rPr>
      </w:pPr>
      <w:bookmarkStart w:id="26" w:name="_Toc21863_WPSOffice_Level2"/>
      <w:r>
        <w:rPr>
          <w:rFonts w:hint="eastAsia" w:ascii="楷体" w:hAnsi="楷体" w:eastAsia="楷体"/>
          <w:b/>
          <w:sz w:val="32"/>
        </w:rPr>
        <w:t>（三）支出决算情况说明</w:t>
      </w:r>
      <w:bookmarkEnd w:id="26"/>
    </w:p>
    <w:p>
      <w:pPr>
        <w:spacing w:line="324" w:lineRule="auto"/>
        <w:ind w:firstLine="594"/>
        <w:rPr>
          <w:rFonts w:ascii="仿宋" w:hAnsi="仿宋" w:eastAsia="仿宋"/>
          <w:sz w:val="32"/>
        </w:rPr>
      </w:pPr>
      <w:r>
        <w:rPr>
          <w:rFonts w:hint="eastAsia" w:ascii="仿宋" w:hAnsi="仿宋" w:eastAsia="仿宋"/>
          <w:sz w:val="32"/>
        </w:rPr>
        <w:t>本年支出合计776.93万元，其中基本支出247.17万元，占31.81%；项目支出529.77万元，占68.19%；上缴上级支出</w:t>
      </w:r>
      <w:r>
        <w:rPr>
          <w:rFonts w:hint="eastAsia" w:ascii="仿宋" w:hAnsi="仿宋" w:eastAsia="仿宋"/>
          <w:sz w:val="30"/>
          <w:lang w:val="zh-CN"/>
        </w:rPr>
        <w:t>0</w:t>
      </w:r>
      <w:r>
        <w:rPr>
          <w:rFonts w:hint="eastAsia" w:ascii="仿宋" w:hAnsi="仿宋" w:eastAsia="仿宋"/>
          <w:sz w:val="32"/>
        </w:rPr>
        <w:t>万元，占0%；经营支出0万元，占0%；对附属单位补助支出</w:t>
      </w:r>
      <w:r>
        <w:rPr>
          <w:rFonts w:hint="eastAsia" w:ascii="仿宋" w:hAnsi="仿宋" w:eastAsia="仿宋"/>
          <w:sz w:val="30"/>
          <w:lang w:val="zh-CN"/>
        </w:rPr>
        <w:t>0</w:t>
      </w:r>
      <w:r>
        <w:rPr>
          <w:rFonts w:hint="eastAsia" w:ascii="仿宋" w:hAnsi="仿宋" w:eastAsia="仿宋"/>
          <w:sz w:val="32"/>
        </w:rPr>
        <w:t>万元，占0%。</w:t>
      </w:r>
    </w:p>
    <w:p>
      <w:pPr>
        <w:spacing w:line="324" w:lineRule="auto"/>
        <w:ind w:firstLine="594"/>
        <w:outlineLvl w:val="1"/>
        <w:rPr>
          <w:rFonts w:ascii="楷体" w:hAnsi="楷体" w:eastAsia="楷体"/>
          <w:b/>
          <w:sz w:val="32"/>
        </w:rPr>
      </w:pPr>
      <w:bookmarkStart w:id="27" w:name="_Toc24740_WPSOffice_Level2"/>
      <w:r>
        <w:rPr>
          <w:rFonts w:hint="eastAsia" w:ascii="楷体" w:hAnsi="楷体" w:eastAsia="楷体"/>
          <w:b/>
          <w:sz w:val="32"/>
        </w:rPr>
        <w:t>（四）财政拨款收入支出决算总体情况说明</w:t>
      </w:r>
      <w:bookmarkEnd w:id="27"/>
    </w:p>
    <w:p>
      <w:pPr>
        <w:spacing w:line="324" w:lineRule="auto"/>
        <w:ind w:firstLine="594"/>
        <w:rPr>
          <w:rFonts w:ascii="仿宋" w:hAnsi="仿宋" w:eastAsia="仿宋"/>
          <w:b/>
          <w:color w:val="auto"/>
          <w:sz w:val="32"/>
        </w:rPr>
      </w:pPr>
      <w:r>
        <w:rPr>
          <w:rFonts w:hint="eastAsia" w:ascii="仿宋" w:hAnsi="仿宋" w:eastAsia="仿宋"/>
          <w:sz w:val="32"/>
        </w:rPr>
        <w:t>2020年度财政拨款收入总计776.93万元，支出总计776.93万元，与2019年相比，各减少43.22万元，下降5.27%。主要原因是：就业补助资金中一部分职业技能培训补贴从职业技能提升行动资金中支出，导致项目支出收入、支出金额减少。财政拨款支出年初预算数776.93万元，完成年初预算的100%，</w:t>
      </w:r>
      <w:r>
        <w:rPr>
          <w:rFonts w:hint="eastAsia" w:ascii="仿宋" w:hAnsi="仿宋" w:eastAsia="仿宋"/>
          <w:color w:val="auto"/>
          <w:sz w:val="32"/>
        </w:rPr>
        <w:t>主要原因是</w:t>
      </w:r>
      <w:r>
        <w:rPr>
          <w:rFonts w:hint="eastAsia" w:ascii="仿宋" w:hAnsi="仿宋" w:eastAsia="仿宋"/>
          <w:color w:val="auto"/>
          <w:sz w:val="32"/>
          <w:lang w:eastAsia="zh-CN"/>
        </w:rPr>
        <w:t>按照年初预算合理支出</w:t>
      </w:r>
      <w:r>
        <w:rPr>
          <w:rFonts w:hint="eastAsia" w:ascii="仿宋" w:hAnsi="仿宋" w:eastAsia="仿宋"/>
          <w:color w:val="auto"/>
          <w:sz w:val="32"/>
        </w:rPr>
        <w:t>。</w:t>
      </w:r>
    </w:p>
    <w:p>
      <w:pPr>
        <w:spacing w:line="324" w:lineRule="auto"/>
        <w:ind w:firstLine="594"/>
        <w:outlineLvl w:val="1"/>
        <w:rPr>
          <w:rFonts w:eastAsia="Times New Roman"/>
          <w:b/>
          <w:sz w:val="32"/>
        </w:rPr>
      </w:pPr>
      <w:bookmarkStart w:id="28" w:name="_Toc18915_WPSOffice_Level2"/>
      <w:r>
        <w:rPr>
          <w:rFonts w:hint="eastAsia" w:ascii="楷体" w:hAnsi="楷体" w:eastAsia="楷体"/>
          <w:b/>
          <w:sz w:val="32"/>
        </w:rPr>
        <w:t>（五）一般公共预算财政拨款支出决算情况说明</w:t>
      </w:r>
      <w:bookmarkEnd w:id="28"/>
    </w:p>
    <w:p>
      <w:pPr>
        <w:spacing w:line="324" w:lineRule="auto"/>
        <w:ind w:firstLine="606"/>
        <w:rPr>
          <w:rFonts w:ascii="仿宋" w:hAnsi="仿宋" w:eastAsia="仿宋"/>
          <w:sz w:val="32"/>
        </w:rPr>
      </w:pPr>
      <w:r>
        <w:rPr>
          <w:rFonts w:hint="eastAsia" w:ascii="仿宋" w:hAnsi="仿宋" w:eastAsia="仿宋"/>
          <w:b/>
          <w:sz w:val="32"/>
        </w:rPr>
        <w:t>1.一般公共预算财政拨款支出决算总体情况。</w:t>
      </w:r>
    </w:p>
    <w:p>
      <w:pPr>
        <w:spacing w:line="324" w:lineRule="auto"/>
        <w:ind w:firstLine="606"/>
        <w:rPr>
          <w:rFonts w:ascii="仿宋" w:hAnsi="仿宋" w:eastAsia="仿宋"/>
          <w:sz w:val="32"/>
        </w:rPr>
      </w:pPr>
      <w:r>
        <w:rPr>
          <w:rFonts w:hint="eastAsia" w:ascii="仿宋" w:hAnsi="仿宋" w:eastAsia="仿宋"/>
          <w:sz w:val="32"/>
        </w:rPr>
        <w:t>2020年度一般公共预算财政拨款支出776.93万元，占本年支出合计的100%。与2019年相比，一般公共预算财政拨款支出减少43.22万元，下降5.27%。主要原因是：就业补助资金中一部分职业技能培训补贴从职业技能提升行动资金中支出，导致项目支出收入、支出金额减少。</w:t>
      </w:r>
    </w:p>
    <w:p>
      <w:pPr>
        <w:spacing w:line="324" w:lineRule="auto"/>
        <w:ind w:firstLine="606"/>
        <w:rPr>
          <w:rFonts w:ascii="仿宋" w:hAnsi="仿宋" w:eastAsia="仿宋"/>
          <w:sz w:val="32"/>
        </w:rPr>
      </w:pPr>
      <w:r>
        <w:rPr>
          <w:rFonts w:hint="eastAsia" w:ascii="仿宋" w:hAnsi="仿宋" w:eastAsia="仿宋"/>
          <w:b/>
          <w:sz w:val="32"/>
        </w:rPr>
        <w:t>2.一般公共预算财政拨款支出决算结构情况。</w:t>
      </w:r>
    </w:p>
    <w:p>
      <w:pPr>
        <w:spacing w:line="324" w:lineRule="auto"/>
        <w:ind w:firstLine="606"/>
        <w:rPr>
          <w:rFonts w:ascii="仿宋" w:hAnsi="仿宋" w:eastAsia="仿宋"/>
          <w:b/>
          <w:sz w:val="32"/>
        </w:rPr>
      </w:pPr>
      <w:r>
        <w:rPr>
          <w:rFonts w:hint="eastAsia" w:ascii="仿宋" w:hAnsi="仿宋" w:eastAsia="仿宋"/>
          <w:sz w:val="32"/>
        </w:rPr>
        <w:t>2020年度一般公共预算财政拨款支出776.93万元，主要用于以下方面：一般公共服务（类）支出</w:t>
      </w:r>
      <w:r>
        <w:rPr>
          <w:rFonts w:hint="eastAsia" w:ascii="仿宋" w:hAnsi="仿宋" w:eastAsia="仿宋"/>
          <w:sz w:val="32"/>
          <w:lang w:val="zh-CN"/>
        </w:rPr>
        <w:t>1.93</w:t>
      </w:r>
      <w:r>
        <w:rPr>
          <w:rFonts w:hint="eastAsia" w:ascii="仿宋" w:hAnsi="仿宋" w:eastAsia="仿宋"/>
          <w:sz w:val="32"/>
        </w:rPr>
        <w:t>万元，占0.25%；国防（类）支出</w:t>
      </w:r>
      <w:r>
        <w:rPr>
          <w:rFonts w:hint="eastAsia" w:ascii="仿宋" w:hAnsi="仿宋" w:eastAsia="仿宋"/>
          <w:sz w:val="32"/>
          <w:lang w:val="zh-CN"/>
        </w:rPr>
        <w:t>0</w:t>
      </w:r>
      <w:r>
        <w:rPr>
          <w:rFonts w:hint="eastAsia" w:ascii="仿宋" w:hAnsi="仿宋" w:eastAsia="仿宋"/>
          <w:sz w:val="32"/>
        </w:rPr>
        <w:t>万元,占0%；公共安全（类）支出</w:t>
      </w:r>
      <w:r>
        <w:rPr>
          <w:rFonts w:hint="eastAsia" w:ascii="仿宋" w:hAnsi="仿宋" w:eastAsia="仿宋"/>
          <w:sz w:val="32"/>
          <w:lang w:val="zh-CN"/>
        </w:rPr>
        <w:t>0</w:t>
      </w:r>
      <w:r>
        <w:rPr>
          <w:rFonts w:hint="eastAsia" w:ascii="仿宋" w:hAnsi="仿宋" w:eastAsia="仿宋"/>
          <w:sz w:val="32"/>
        </w:rPr>
        <w:t>万元,占0%；教育（类）支出</w:t>
      </w:r>
      <w:r>
        <w:rPr>
          <w:rFonts w:hint="eastAsia" w:ascii="仿宋" w:hAnsi="仿宋" w:eastAsia="仿宋"/>
          <w:sz w:val="32"/>
          <w:lang w:val="zh-CN"/>
        </w:rPr>
        <w:t>0</w:t>
      </w:r>
      <w:r>
        <w:rPr>
          <w:rFonts w:hint="eastAsia" w:ascii="仿宋" w:hAnsi="仿宋" w:eastAsia="仿宋"/>
          <w:sz w:val="32"/>
        </w:rPr>
        <w:t>万元,占0%；科学技术（类）支出</w:t>
      </w:r>
      <w:r>
        <w:rPr>
          <w:rFonts w:hint="eastAsia" w:ascii="仿宋" w:hAnsi="仿宋" w:eastAsia="仿宋"/>
          <w:sz w:val="32"/>
          <w:lang w:val="zh-CN"/>
        </w:rPr>
        <w:t>0</w:t>
      </w:r>
      <w:r>
        <w:rPr>
          <w:rFonts w:hint="eastAsia" w:ascii="仿宋" w:hAnsi="仿宋" w:eastAsia="仿宋"/>
          <w:sz w:val="32"/>
        </w:rPr>
        <w:t>万元,占0%；文化旅游体育与传媒（类）支出</w:t>
      </w:r>
      <w:r>
        <w:rPr>
          <w:rFonts w:hint="eastAsia" w:ascii="仿宋" w:hAnsi="仿宋" w:eastAsia="仿宋"/>
          <w:sz w:val="32"/>
          <w:lang w:val="zh-CN"/>
        </w:rPr>
        <w:t>0</w:t>
      </w:r>
      <w:r>
        <w:rPr>
          <w:rFonts w:hint="eastAsia" w:ascii="仿宋" w:hAnsi="仿宋" w:eastAsia="仿宋"/>
          <w:sz w:val="32"/>
        </w:rPr>
        <w:t>万元,占0%；社会保障和就业（类）支出</w:t>
      </w:r>
      <w:r>
        <w:rPr>
          <w:rFonts w:hint="eastAsia" w:ascii="仿宋" w:hAnsi="仿宋" w:eastAsia="仿宋"/>
          <w:sz w:val="32"/>
          <w:lang w:val="zh-CN"/>
        </w:rPr>
        <w:t>751.35</w:t>
      </w:r>
      <w:r>
        <w:rPr>
          <w:rFonts w:hint="eastAsia" w:ascii="仿宋" w:hAnsi="仿宋" w:eastAsia="仿宋"/>
          <w:sz w:val="32"/>
        </w:rPr>
        <w:t>万元,占96.71%；卫生健康（类）支出</w:t>
      </w:r>
      <w:r>
        <w:rPr>
          <w:rFonts w:hint="eastAsia" w:ascii="仿宋" w:hAnsi="仿宋" w:eastAsia="仿宋"/>
          <w:sz w:val="32"/>
          <w:lang w:val="zh-CN"/>
        </w:rPr>
        <w:t>8.66</w:t>
      </w:r>
      <w:r>
        <w:rPr>
          <w:rFonts w:hint="eastAsia" w:ascii="仿宋" w:hAnsi="仿宋" w:eastAsia="仿宋"/>
          <w:sz w:val="32"/>
        </w:rPr>
        <w:t>万元,占1.11%；节能环保（类）支出</w:t>
      </w:r>
      <w:r>
        <w:rPr>
          <w:rFonts w:hint="eastAsia" w:ascii="仿宋" w:hAnsi="仿宋" w:eastAsia="仿宋"/>
          <w:sz w:val="32"/>
          <w:lang w:val="zh-CN"/>
        </w:rPr>
        <w:t>0</w:t>
      </w:r>
      <w:r>
        <w:rPr>
          <w:rFonts w:hint="eastAsia" w:ascii="仿宋" w:hAnsi="仿宋" w:eastAsia="仿宋"/>
          <w:sz w:val="32"/>
        </w:rPr>
        <w:t>万元,占0%；城乡社区（类）支出</w:t>
      </w:r>
      <w:r>
        <w:rPr>
          <w:rFonts w:hint="eastAsia" w:ascii="仿宋" w:hAnsi="仿宋" w:eastAsia="仿宋"/>
          <w:sz w:val="32"/>
          <w:lang w:val="zh-CN"/>
        </w:rPr>
        <w:t>0</w:t>
      </w:r>
      <w:r>
        <w:rPr>
          <w:rFonts w:hint="eastAsia" w:ascii="仿宋" w:hAnsi="仿宋" w:eastAsia="仿宋"/>
          <w:sz w:val="32"/>
        </w:rPr>
        <w:t>万元,占0%；农林水（类）支出</w:t>
      </w:r>
      <w:r>
        <w:rPr>
          <w:rFonts w:hint="eastAsia" w:ascii="仿宋" w:hAnsi="仿宋" w:eastAsia="仿宋"/>
          <w:sz w:val="32"/>
          <w:lang w:val="zh-CN"/>
        </w:rPr>
        <w:t>0</w:t>
      </w:r>
      <w:r>
        <w:rPr>
          <w:rFonts w:hint="eastAsia" w:ascii="仿宋" w:hAnsi="仿宋" w:eastAsia="仿宋"/>
          <w:sz w:val="32"/>
        </w:rPr>
        <w:t>万元,占0%；交通运输（类）支出</w:t>
      </w:r>
      <w:r>
        <w:rPr>
          <w:rFonts w:hint="eastAsia" w:ascii="仿宋" w:hAnsi="仿宋" w:eastAsia="仿宋"/>
          <w:sz w:val="32"/>
          <w:lang w:val="zh-CN"/>
        </w:rPr>
        <w:t>0</w:t>
      </w:r>
      <w:r>
        <w:rPr>
          <w:rFonts w:hint="eastAsia" w:ascii="仿宋" w:hAnsi="仿宋" w:eastAsia="仿宋"/>
          <w:sz w:val="32"/>
        </w:rPr>
        <w:t>万元,占0%；资源勘探工业信息等（类）支出</w:t>
      </w:r>
      <w:r>
        <w:rPr>
          <w:rFonts w:hint="eastAsia" w:ascii="仿宋" w:hAnsi="仿宋" w:eastAsia="仿宋"/>
          <w:sz w:val="32"/>
          <w:lang w:val="zh-CN"/>
        </w:rPr>
        <w:t>0</w:t>
      </w:r>
      <w:r>
        <w:rPr>
          <w:rFonts w:hint="eastAsia" w:ascii="仿宋" w:hAnsi="仿宋" w:eastAsia="仿宋"/>
          <w:sz w:val="32"/>
        </w:rPr>
        <w:t>万元,占0%；商业服务业等（类）支出</w:t>
      </w:r>
      <w:r>
        <w:rPr>
          <w:rFonts w:hint="eastAsia" w:ascii="仿宋" w:hAnsi="仿宋" w:eastAsia="仿宋"/>
          <w:sz w:val="32"/>
          <w:lang w:val="zh-CN"/>
        </w:rPr>
        <w:t>0</w:t>
      </w:r>
      <w:r>
        <w:rPr>
          <w:rFonts w:hint="eastAsia" w:ascii="仿宋" w:hAnsi="仿宋" w:eastAsia="仿宋"/>
          <w:sz w:val="32"/>
        </w:rPr>
        <w:t>万元,占0%；金融（类）支出</w:t>
      </w:r>
      <w:r>
        <w:rPr>
          <w:rFonts w:hint="eastAsia" w:ascii="仿宋" w:hAnsi="仿宋" w:eastAsia="仿宋"/>
          <w:sz w:val="32"/>
          <w:lang w:val="zh-CN"/>
        </w:rPr>
        <w:t>0</w:t>
      </w:r>
      <w:r>
        <w:rPr>
          <w:rFonts w:hint="eastAsia" w:ascii="仿宋" w:hAnsi="仿宋" w:eastAsia="仿宋"/>
          <w:sz w:val="32"/>
        </w:rPr>
        <w:t>万元,占0%；援助其他地区（类）支出</w:t>
      </w:r>
      <w:r>
        <w:rPr>
          <w:rFonts w:hint="eastAsia" w:ascii="仿宋" w:hAnsi="仿宋" w:eastAsia="仿宋"/>
          <w:sz w:val="32"/>
          <w:lang w:val="zh-CN"/>
        </w:rPr>
        <w:t>0</w:t>
      </w:r>
      <w:r>
        <w:rPr>
          <w:rFonts w:hint="eastAsia" w:ascii="仿宋" w:hAnsi="仿宋" w:eastAsia="仿宋"/>
          <w:sz w:val="32"/>
        </w:rPr>
        <w:t>万元,占0%；自然资源海洋气象等（类）支出</w:t>
      </w:r>
      <w:r>
        <w:rPr>
          <w:rFonts w:hint="eastAsia" w:ascii="仿宋" w:hAnsi="仿宋" w:eastAsia="仿宋"/>
          <w:sz w:val="32"/>
          <w:lang w:val="zh-CN"/>
        </w:rPr>
        <w:t>0</w:t>
      </w:r>
      <w:r>
        <w:rPr>
          <w:rFonts w:hint="eastAsia" w:ascii="仿宋" w:hAnsi="仿宋" w:eastAsia="仿宋"/>
          <w:sz w:val="32"/>
        </w:rPr>
        <w:t>万元,占0%；住房保障（类）支出</w:t>
      </w:r>
      <w:r>
        <w:rPr>
          <w:rFonts w:hint="eastAsia" w:ascii="仿宋" w:hAnsi="仿宋" w:eastAsia="仿宋"/>
          <w:sz w:val="32"/>
          <w:lang w:val="zh-CN"/>
        </w:rPr>
        <w:t>14.99</w:t>
      </w:r>
      <w:r>
        <w:rPr>
          <w:rFonts w:hint="eastAsia" w:ascii="仿宋" w:hAnsi="仿宋" w:eastAsia="仿宋"/>
          <w:sz w:val="32"/>
        </w:rPr>
        <w:t>万元,占1.93%；粮油物资储备（类）支出</w:t>
      </w:r>
      <w:r>
        <w:rPr>
          <w:rFonts w:hint="eastAsia" w:ascii="仿宋" w:hAnsi="仿宋" w:eastAsia="仿宋"/>
          <w:sz w:val="32"/>
          <w:lang w:val="zh-CN"/>
        </w:rPr>
        <w:t>0</w:t>
      </w:r>
      <w:r>
        <w:rPr>
          <w:rFonts w:hint="eastAsia" w:ascii="仿宋" w:hAnsi="仿宋" w:eastAsia="仿宋"/>
          <w:sz w:val="32"/>
        </w:rPr>
        <w:t>万元,占0%；灾害防治及应急管理（类）支出</w:t>
      </w:r>
      <w:r>
        <w:rPr>
          <w:rFonts w:hint="eastAsia" w:ascii="仿宋" w:hAnsi="仿宋" w:eastAsia="仿宋"/>
          <w:sz w:val="32"/>
          <w:lang w:val="zh-CN"/>
        </w:rPr>
        <w:t>0</w:t>
      </w:r>
      <w:r>
        <w:rPr>
          <w:rFonts w:hint="eastAsia" w:ascii="仿宋" w:hAnsi="仿宋" w:eastAsia="仿宋"/>
          <w:sz w:val="32"/>
        </w:rPr>
        <w:t>万元,占0%；其他（类）支出</w:t>
      </w:r>
      <w:r>
        <w:rPr>
          <w:rFonts w:hint="eastAsia" w:ascii="仿宋" w:hAnsi="仿宋" w:eastAsia="仿宋"/>
          <w:sz w:val="32"/>
          <w:lang w:val="zh-CN"/>
        </w:rPr>
        <w:t>0</w:t>
      </w:r>
      <w:r>
        <w:rPr>
          <w:rFonts w:hint="eastAsia" w:ascii="仿宋" w:hAnsi="仿宋" w:eastAsia="仿宋"/>
          <w:sz w:val="32"/>
        </w:rPr>
        <w:t>万元,占0%；债务还本（类）支出</w:t>
      </w:r>
      <w:r>
        <w:rPr>
          <w:rFonts w:hint="eastAsia" w:ascii="仿宋" w:hAnsi="仿宋" w:eastAsia="仿宋"/>
          <w:sz w:val="32"/>
          <w:lang w:val="zh-CN"/>
        </w:rPr>
        <w:t>0</w:t>
      </w:r>
      <w:r>
        <w:rPr>
          <w:rFonts w:hint="eastAsia" w:ascii="仿宋" w:hAnsi="仿宋" w:eastAsia="仿宋"/>
          <w:sz w:val="32"/>
        </w:rPr>
        <w:t>万元,占0%；债务付息（类）支出</w:t>
      </w:r>
      <w:r>
        <w:rPr>
          <w:rFonts w:hint="eastAsia" w:ascii="仿宋" w:hAnsi="仿宋" w:eastAsia="仿宋"/>
          <w:sz w:val="32"/>
          <w:lang w:val="zh-CN"/>
        </w:rPr>
        <w:t>0</w:t>
      </w:r>
      <w:r>
        <w:rPr>
          <w:rFonts w:hint="eastAsia" w:ascii="仿宋" w:hAnsi="仿宋" w:eastAsia="仿宋"/>
          <w:sz w:val="32"/>
        </w:rPr>
        <w:t>万元,占0%。</w:t>
      </w:r>
    </w:p>
    <w:p>
      <w:pPr>
        <w:spacing w:line="324" w:lineRule="auto"/>
        <w:ind w:firstLine="606"/>
        <w:rPr>
          <w:rFonts w:ascii="仿宋" w:hAnsi="仿宋" w:eastAsia="仿宋"/>
          <w:sz w:val="32"/>
        </w:rPr>
      </w:pPr>
      <w:r>
        <w:rPr>
          <w:rFonts w:hint="eastAsia" w:ascii="仿宋" w:hAnsi="仿宋" w:eastAsia="仿宋"/>
          <w:b/>
          <w:sz w:val="32"/>
        </w:rPr>
        <w:t>3.一般公共预算财政拨款支出决算具体情况。</w:t>
      </w:r>
    </w:p>
    <w:p>
      <w:pPr>
        <w:spacing w:line="324" w:lineRule="auto"/>
        <w:ind w:firstLine="594"/>
        <w:rPr>
          <w:rFonts w:ascii="仿宋" w:hAnsi="仿宋" w:eastAsia="仿宋"/>
          <w:sz w:val="32"/>
        </w:rPr>
      </w:pPr>
      <w:r>
        <w:rPr>
          <w:rFonts w:hint="eastAsia" w:ascii="仿宋" w:hAnsi="仿宋" w:eastAsia="仿宋"/>
          <w:sz w:val="32"/>
        </w:rPr>
        <w:t>2020年度一般公共预算财政拨款支出年初预算为417.74万元，支出决算为776.93万元,完成年初预算的185.98%，主要原因是：就业补助资金部分预算是上级补助，未包含在一般公共预算财政拨款支出年初预算中。其中：</w:t>
      </w:r>
    </w:p>
    <w:p>
      <w:pPr>
        <w:numPr>
          <w:ilvl w:val="0"/>
          <w:numId w:val="1"/>
        </w:numPr>
        <w:spacing w:line="324" w:lineRule="auto"/>
        <w:ind w:firstLine="594"/>
        <w:rPr>
          <w:rFonts w:ascii="仿宋" w:hAnsi="仿宋" w:eastAsia="仿宋"/>
          <w:sz w:val="32"/>
          <w:szCs w:val="32"/>
        </w:rPr>
      </w:pPr>
      <w:r>
        <w:rPr>
          <w:rFonts w:hint="eastAsia" w:ascii="仿宋" w:hAnsi="仿宋" w:eastAsia="仿宋"/>
          <w:sz w:val="32"/>
          <w:szCs w:val="32"/>
        </w:rPr>
        <w:t>一般公共服务支出（类）人力资源事务（款）行政运行（项）年初预算为0万元，支出决算为1.93万元，完成年初预算的0%，决算数大于预算数的主要原因人员调整，2020年正常薪金调资等人员经费追加，其他工资福利支出增加。</w:t>
      </w:r>
    </w:p>
    <w:p>
      <w:pPr>
        <w:numPr>
          <w:ilvl w:val="0"/>
          <w:numId w:val="1"/>
        </w:numPr>
        <w:spacing w:line="324" w:lineRule="auto"/>
        <w:ind w:firstLine="594"/>
        <w:rPr>
          <w:rFonts w:ascii="仿宋" w:hAnsi="仿宋" w:eastAsia="仿宋"/>
          <w:sz w:val="32"/>
          <w:szCs w:val="32"/>
        </w:rPr>
      </w:pPr>
      <w:r>
        <w:rPr>
          <w:rFonts w:hint="eastAsia" w:ascii="仿宋" w:hAnsi="仿宋" w:eastAsia="仿宋"/>
          <w:sz w:val="32"/>
          <w:szCs w:val="32"/>
        </w:rPr>
        <w:t>社会保障和就业支出（类）人力资源和社会保障管理事务（款）就业管理事务（项）年初预算为265.65万元，支出决算为252.26万元，完成年初预算的94.96%，决算数小于预算数的主要原因经费调整。</w:t>
      </w:r>
    </w:p>
    <w:p>
      <w:pPr>
        <w:numPr>
          <w:ilvl w:val="0"/>
          <w:numId w:val="1"/>
        </w:numPr>
        <w:spacing w:line="324" w:lineRule="auto"/>
        <w:ind w:firstLine="594"/>
        <w:rPr>
          <w:rFonts w:ascii="仿宋" w:hAnsi="仿宋" w:eastAsia="仿宋"/>
          <w:sz w:val="32"/>
          <w:szCs w:val="32"/>
        </w:rPr>
      </w:pPr>
      <w:r>
        <w:rPr>
          <w:rFonts w:hint="eastAsia" w:ascii="仿宋" w:hAnsi="仿宋" w:eastAsia="仿宋"/>
          <w:sz w:val="32"/>
          <w:szCs w:val="32"/>
        </w:rPr>
        <w:t>社会保障和就业支出（类）人力资源和社会保障管理事务（款）其他人力资源和社会保障事务支出（项）年初预算为9万元，支出决算为12.05万元，完成年初预算的133.89%，决算数大于预算数的主要原因项目调整，新增人力社保有关疫情防控支出项目。</w:t>
      </w:r>
    </w:p>
    <w:p>
      <w:pPr>
        <w:numPr>
          <w:ilvl w:val="0"/>
          <w:numId w:val="1"/>
        </w:numPr>
        <w:spacing w:line="324" w:lineRule="auto"/>
        <w:ind w:firstLine="594"/>
        <w:rPr>
          <w:rFonts w:ascii="仿宋" w:hAnsi="仿宋" w:eastAsia="仿宋"/>
          <w:sz w:val="32"/>
          <w:szCs w:val="32"/>
        </w:rPr>
      </w:pPr>
      <w:r>
        <w:rPr>
          <w:rFonts w:hint="eastAsia" w:ascii="仿宋" w:hAnsi="仿宋" w:eastAsia="仿宋"/>
          <w:sz w:val="32"/>
          <w:szCs w:val="32"/>
        </w:rPr>
        <w:t>社会保障和就业支出（类）行政事业单位离退休（款）未归口管理的行政单位离退休（项）年初预算为12.2万元，支出决算为9.42万元，完成年初预算的77.21%，决算数小于预算数的主要原因是经费调整。</w:t>
      </w:r>
    </w:p>
    <w:p>
      <w:pPr>
        <w:numPr>
          <w:ilvl w:val="0"/>
          <w:numId w:val="1"/>
        </w:numPr>
        <w:spacing w:line="324" w:lineRule="auto"/>
        <w:ind w:firstLine="594"/>
        <w:rPr>
          <w:rFonts w:ascii="仿宋" w:hAnsi="仿宋" w:eastAsia="仿宋"/>
          <w:sz w:val="32"/>
          <w:szCs w:val="32"/>
        </w:rPr>
      </w:pPr>
      <w:r>
        <w:rPr>
          <w:rFonts w:hint="eastAsia" w:ascii="仿宋" w:hAnsi="仿宋" w:eastAsia="仿宋"/>
          <w:sz w:val="32"/>
          <w:szCs w:val="32"/>
        </w:rPr>
        <w:t>社会保障和就业支出（类）行政事业单位离退休（款）机关事业单位基本养老保险缴费支出（项）年初预算为12.32万元，支出决算为12.29万元，完成年初预算的99.76%，决算数小于预算数的主要原因是经费调整。</w:t>
      </w:r>
    </w:p>
    <w:p>
      <w:pPr>
        <w:numPr>
          <w:ilvl w:val="0"/>
          <w:numId w:val="1"/>
        </w:numPr>
        <w:spacing w:line="324" w:lineRule="auto"/>
        <w:ind w:firstLine="594"/>
        <w:rPr>
          <w:rFonts w:ascii="仿宋" w:hAnsi="仿宋" w:eastAsia="仿宋"/>
          <w:sz w:val="32"/>
          <w:szCs w:val="32"/>
        </w:rPr>
      </w:pPr>
      <w:r>
        <w:rPr>
          <w:rFonts w:hint="eastAsia" w:ascii="仿宋" w:hAnsi="仿宋" w:eastAsia="仿宋"/>
          <w:sz w:val="32"/>
          <w:szCs w:val="32"/>
        </w:rPr>
        <w:t>社会保障和就业支出（类）行政事业单位离退休（款）机关事业单位职业年金缴费支出（项）年初预算为6.16万元，支出决算为5.84万元，完成年初预算的94.8%，决算数小于预算数的主要原因是经费调整。</w:t>
      </w:r>
    </w:p>
    <w:p>
      <w:pPr>
        <w:numPr>
          <w:ilvl w:val="0"/>
          <w:numId w:val="1"/>
        </w:numPr>
        <w:spacing w:line="324" w:lineRule="auto"/>
        <w:ind w:firstLine="594"/>
        <w:rPr>
          <w:rFonts w:ascii="仿宋" w:hAnsi="仿宋" w:eastAsia="仿宋"/>
          <w:sz w:val="32"/>
          <w:szCs w:val="32"/>
        </w:rPr>
      </w:pPr>
      <w:r>
        <w:rPr>
          <w:rFonts w:hint="eastAsia" w:ascii="仿宋" w:hAnsi="仿宋" w:eastAsia="仿宋"/>
          <w:sz w:val="32"/>
          <w:szCs w:val="32"/>
        </w:rPr>
        <w:t>社会保障和就业支出（类）就业补助（款）就业创业服务补贴（项）年初预算为0万元，支出决算为14.11万元，完成年初预算的0%，决算数大于预算数的主要原因是预算项目调整。</w:t>
      </w:r>
    </w:p>
    <w:p>
      <w:pPr>
        <w:numPr>
          <w:ilvl w:val="0"/>
          <w:numId w:val="1"/>
        </w:numPr>
        <w:spacing w:line="324" w:lineRule="auto"/>
        <w:ind w:firstLine="594"/>
        <w:rPr>
          <w:rFonts w:ascii="仿宋" w:hAnsi="仿宋" w:eastAsia="仿宋"/>
          <w:sz w:val="32"/>
          <w:szCs w:val="32"/>
        </w:rPr>
      </w:pPr>
      <w:r>
        <w:rPr>
          <w:rFonts w:hint="eastAsia" w:ascii="仿宋" w:hAnsi="仿宋" w:eastAsia="仿宋"/>
          <w:sz w:val="32"/>
          <w:szCs w:val="32"/>
        </w:rPr>
        <w:t>社会保障和就业支出（类）就业补助（款）社会保险补贴（项）年初预算为0万元，支出决算为123.75万元，完成年初预算的0%，决算数大于预算数的主要原因是预算项目调整。</w:t>
      </w:r>
    </w:p>
    <w:p>
      <w:pPr>
        <w:numPr>
          <w:ilvl w:val="0"/>
          <w:numId w:val="1"/>
        </w:numPr>
        <w:spacing w:line="324" w:lineRule="auto"/>
        <w:ind w:firstLine="594"/>
        <w:rPr>
          <w:rFonts w:ascii="仿宋" w:hAnsi="仿宋" w:eastAsia="仿宋"/>
          <w:sz w:val="32"/>
          <w:szCs w:val="32"/>
        </w:rPr>
      </w:pPr>
      <w:r>
        <w:rPr>
          <w:rFonts w:hint="eastAsia" w:ascii="仿宋" w:hAnsi="仿宋" w:eastAsia="仿宋"/>
          <w:sz w:val="32"/>
          <w:szCs w:val="32"/>
        </w:rPr>
        <w:t>社会保障和就业支出（类）就业补助（款）其他就业补助支出（项）年初预算为25万元，支出决算为321.64万元，完成年初预算的1286%，决算数大于预算数的主要原因是预算项目调整，此项目支出包括公益性岗位补贴、就业见习补贴、求职创业补贴等。</w:t>
      </w:r>
    </w:p>
    <w:p>
      <w:pPr>
        <w:numPr>
          <w:ilvl w:val="0"/>
          <w:numId w:val="1"/>
        </w:numPr>
        <w:spacing w:line="324" w:lineRule="auto"/>
        <w:ind w:firstLine="594"/>
        <w:rPr>
          <w:rFonts w:ascii="仿宋" w:hAnsi="仿宋" w:eastAsia="仿宋"/>
          <w:sz w:val="32"/>
          <w:szCs w:val="32"/>
        </w:rPr>
      </w:pPr>
      <w:r>
        <w:rPr>
          <w:rFonts w:hint="eastAsia" w:ascii="仿宋" w:hAnsi="仿宋" w:eastAsia="仿宋"/>
          <w:sz w:val="32"/>
          <w:szCs w:val="32"/>
        </w:rPr>
        <w:t>社会保障和就业支出（类）就业补助（款）公益性岗位补贴（项）年初预算为14万元，支出决算为0万元，完成年初预算的0%，决算数小于预算数的主要原因是预算项目调整，此项目相关支出被调整至其他就业补助支出项目中支出。</w:t>
      </w:r>
    </w:p>
    <w:p>
      <w:pPr>
        <w:numPr>
          <w:ilvl w:val="0"/>
          <w:numId w:val="1"/>
        </w:numPr>
        <w:spacing w:line="324" w:lineRule="auto"/>
        <w:ind w:firstLine="594"/>
        <w:rPr>
          <w:rFonts w:ascii="仿宋" w:hAnsi="仿宋" w:eastAsia="仿宋"/>
          <w:sz w:val="32"/>
          <w:szCs w:val="32"/>
        </w:rPr>
      </w:pPr>
      <w:r>
        <w:rPr>
          <w:rFonts w:hint="eastAsia" w:ascii="仿宋" w:hAnsi="仿宋" w:eastAsia="仿宋"/>
          <w:sz w:val="32"/>
          <w:szCs w:val="32"/>
        </w:rPr>
        <w:t>社会保障和就业支出（类）就业补助（款）公职业技能鉴定补贴（项）年初预算为4万元，支出决算为0万元，完成年初预算的0%，决算数小于预算数的主要原因是</w:t>
      </w:r>
      <w:r>
        <w:rPr>
          <w:rFonts w:hint="eastAsia" w:ascii="仿宋" w:hAnsi="仿宋" w:eastAsia="仿宋"/>
          <w:sz w:val="32"/>
        </w:rPr>
        <w:t>2020年度职业技能鉴定补贴由职业技能提升专项行动资金保障，未从年度预算中支出。</w:t>
      </w:r>
    </w:p>
    <w:p>
      <w:pPr>
        <w:numPr>
          <w:ilvl w:val="0"/>
          <w:numId w:val="1"/>
        </w:numPr>
        <w:spacing w:line="324" w:lineRule="auto"/>
        <w:ind w:firstLine="594"/>
        <w:rPr>
          <w:rFonts w:ascii="仿宋" w:hAnsi="仿宋" w:eastAsia="仿宋"/>
          <w:sz w:val="32"/>
          <w:szCs w:val="32"/>
        </w:rPr>
      </w:pPr>
      <w:r>
        <w:rPr>
          <w:rFonts w:hint="eastAsia" w:ascii="仿宋" w:hAnsi="仿宋" w:eastAsia="仿宋"/>
          <w:sz w:val="32"/>
          <w:szCs w:val="32"/>
        </w:rPr>
        <w:t>社会保障和就业支出（类）就业补助（款）就业见习补贴（项）年初预算为34万元，支出决算为0万元，完成年初预算的0%，决算数小于预算数的主要原因是预算项目调整，此项目相关支出被调整至其他就业补助支出项目中支出。</w:t>
      </w:r>
    </w:p>
    <w:p>
      <w:pPr>
        <w:numPr>
          <w:ilvl w:val="0"/>
          <w:numId w:val="1"/>
        </w:numPr>
        <w:spacing w:line="324" w:lineRule="auto"/>
        <w:ind w:firstLine="594"/>
        <w:rPr>
          <w:rFonts w:ascii="仿宋" w:hAnsi="仿宋" w:eastAsia="仿宋"/>
          <w:sz w:val="32"/>
          <w:szCs w:val="32"/>
        </w:rPr>
      </w:pPr>
      <w:r>
        <w:rPr>
          <w:rFonts w:hint="eastAsia" w:ascii="仿宋" w:hAnsi="仿宋" w:eastAsia="仿宋"/>
          <w:sz w:val="32"/>
          <w:szCs w:val="32"/>
        </w:rPr>
        <w:t>社会保障和就业支出（类）就业补助（款）求职创业补贴（项）年初预算为9万元，支出决算为0万元，完成年初预算的0%，决算数小于预算数的主要原因是预算项目调整，此项目相关支出被调整至其他就业补助支出项目中支出。</w:t>
      </w:r>
    </w:p>
    <w:p>
      <w:pPr>
        <w:numPr>
          <w:ilvl w:val="0"/>
          <w:numId w:val="1"/>
        </w:numPr>
        <w:spacing w:line="324" w:lineRule="auto"/>
        <w:ind w:firstLine="594"/>
        <w:rPr>
          <w:rFonts w:ascii="仿宋" w:hAnsi="仿宋" w:eastAsia="仿宋"/>
          <w:sz w:val="32"/>
          <w:szCs w:val="32"/>
        </w:rPr>
      </w:pPr>
      <w:r>
        <w:rPr>
          <w:rFonts w:hint="eastAsia" w:ascii="仿宋" w:hAnsi="仿宋" w:eastAsia="仿宋"/>
          <w:sz w:val="32"/>
          <w:szCs w:val="32"/>
        </w:rPr>
        <w:t>卫生健康支出（类）行政事业单位医疗（款）行政单位医疗（项）年初预算为11.4万元，支出决算为8.66万元，完成年初预算的75.96%，决算数小于预算数的主要原因是人员减少1人。</w:t>
      </w:r>
    </w:p>
    <w:p>
      <w:pPr>
        <w:numPr>
          <w:ilvl w:val="0"/>
          <w:numId w:val="1"/>
        </w:numPr>
        <w:spacing w:line="324" w:lineRule="auto"/>
        <w:ind w:firstLine="594"/>
        <w:rPr>
          <w:rFonts w:ascii="仿宋" w:hAnsi="仿宋" w:eastAsia="仿宋"/>
          <w:sz w:val="32"/>
          <w:szCs w:val="32"/>
        </w:rPr>
      </w:pPr>
      <w:r>
        <w:rPr>
          <w:rFonts w:hint="eastAsia" w:ascii="仿宋" w:hAnsi="仿宋" w:eastAsia="仿宋"/>
          <w:sz w:val="32"/>
          <w:szCs w:val="32"/>
        </w:rPr>
        <w:t>住房保障支出（类）住房改革支出（款）住房公积金（项）年初预算为15.02万元，支出决算为14.99万元，完成年初预算的99.8%，决算数小于预算数的主要原因人员减少1人。</w:t>
      </w:r>
    </w:p>
    <w:p>
      <w:pPr>
        <w:spacing w:line="324" w:lineRule="auto"/>
        <w:ind w:firstLine="594"/>
        <w:outlineLvl w:val="1"/>
        <w:rPr>
          <w:rFonts w:eastAsia="Times New Roman"/>
          <w:sz w:val="32"/>
        </w:rPr>
      </w:pPr>
      <w:bookmarkStart w:id="29" w:name="_Toc23089_WPSOffice_Level2"/>
      <w:r>
        <w:rPr>
          <w:rFonts w:hint="eastAsia" w:ascii="楷体" w:hAnsi="楷体" w:eastAsia="楷体"/>
          <w:b/>
          <w:sz w:val="32"/>
        </w:rPr>
        <w:t>（六）一般公共预算财政拨款基本支出决算情况说明</w:t>
      </w:r>
      <w:bookmarkEnd w:id="29"/>
    </w:p>
    <w:p>
      <w:pPr>
        <w:spacing w:line="324" w:lineRule="auto"/>
        <w:ind w:firstLine="594"/>
        <w:rPr>
          <w:rFonts w:ascii="仿宋" w:hAnsi="仿宋" w:eastAsia="仿宋"/>
          <w:sz w:val="32"/>
        </w:rPr>
      </w:pPr>
      <w:r>
        <w:rPr>
          <w:rFonts w:hint="eastAsia" w:ascii="仿宋" w:hAnsi="仿宋" w:eastAsia="仿宋"/>
          <w:sz w:val="32"/>
        </w:rPr>
        <w:t>2020年度一般公共预算财政拨款基本支出247.17万元，其中：</w:t>
      </w:r>
    </w:p>
    <w:p>
      <w:pPr>
        <w:spacing w:line="324" w:lineRule="auto"/>
        <w:ind w:firstLine="594"/>
        <w:rPr>
          <w:rFonts w:ascii="仿宋" w:hAnsi="仿宋" w:eastAsia="仿宋"/>
          <w:sz w:val="32"/>
        </w:rPr>
      </w:pPr>
      <w:r>
        <w:rPr>
          <w:rFonts w:hint="eastAsia" w:ascii="仿宋" w:hAnsi="仿宋" w:eastAsia="仿宋"/>
          <w:sz w:val="32"/>
        </w:rPr>
        <w:t>人员经费218.75万元，主要包括：基本工资、津贴补贴、奖金、绩效工资、机关事业单位基本养老保险缴费、职业年金缴费、职工基本医疗保险缴费、公务员医疗补助缴费、其他社会保障缴费、住房公积金、医疗费、其他工资福利支出、生活补助、医疗费补助、其他对个人和家庭的补助支出等；</w:t>
      </w:r>
    </w:p>
    <w:p>
      <w:pPr>
        <w:spacing w:line="324" w:lineRule="auto"/>
        <w:ind w:firstLine="594"/>
        <w:rPr>
          <w:rFonts w:eastAsia="Times New Roman"/>
          <w:sz w:val="32"/>
        </w:rPr>
      </w:pPr>
      <w:r>
        <w:rPr>
          <w:rFonts w:hint="eastAsia" w:ascii="仿宋" w:hAnsi="仿宋" w:eastAsia="仿宋"/>
          <w:sz w:val="32"/>
        </w:rPr>
        <w:t>公用经费28.42万元，主要包括：办公费、印刷费、电费、邮电费、差旅费、会议费、培训费、公务接待费、劳务费、工会经费、福利费、其他商品和服务支出。</w:t>
      </w:r>
    </w:p>
    <w:p>
      <w:pPr>
        <w:numPr>
          <w:ilvl w:val="0"/>
          <w:numId w:val="2"/>
        </w:numPr>
        <w:spacing w:line="324" w:lineRule="auto"/>
        <w:ind w:firstLine="594"/>
        <w:outlineLvl w:val="1"/>
        <w:rPr>
          <w:rFonts w:ascii="楷体" w:hAnsi="楷体" w:eastAsia="楷体"/>
          <w:b/>
          <w:sz w:val="32"/>
        </w:rPr>
      </w:pPr>
      <w:bookmarkStart w:id="30" w:name="_Toc15954_WPSOffice_Level2"/>
      <w:r>
        <w:rPr>
          <w:rFonts w:hint="eastAsia" w:ascii="楷体" w:hAnsi="楷体" w:eastAsia="楷体"/>
          <w:b/>
          <w:sz w:val="32"/>
        </w:rPr>
        <w:t>政府性基金预算财政拨款支出</w:t>
      </w:r>
      <w:r>
        <w:rPr>
          <w:rFonts w:hint="eastAsia" w:ascii="楷体" w:hAnsi="楷体" w:eastAsia="楷体"/>
          <w:b/>
          <w:sz w:val="32"/>
          <w:lang w:val="zh-CN"/>
        </w:rPr>
        <w:t>决算</w:t>
      </w:r>
      <w:r>
        <w:rPr>
          <w:rFonts w:hint="eastAsia" w:ascii="楷体" w:hAnsi="楷体" w:eastAsia="楷体"/>
          <w:b/>
          <w:sz w:val="32"/>
        </w:rPr>
        <w:t>总体情况说明</w:t>
      </w:r>
      <w:bookmarkEnd w:id="30"/>
    </w:p>
    <w:p>
      <w:pPr>
        <w:spacing w:line="324" w:lineRule="auto"/>
        <w:ind w:firstLine="640" w:firstLineChars="200"/>
        <w:rPr>
          <w:rFonts w:ascii="仿宋" w:hAnsi="仿宋" w:eastAsia="仿宋"/>
          <w:b/>
          <w:sz w:val="32"/>
        </w:rPr>
      </w:pPr>
      <w:r>
        <w:rPr>
          <w:rFonts w:hint="eastAsia" w:ascii="仿宋" w:hAnsi="仿宋" w:eastAsia="仿宋"/>
          <w:sz w:val="32"/>
        </w:rPr>
        <w:t>本单位2020年度无政府性基金预算财政拨款收支安排，故无相关数据。</w:t>
      </w:r>
    </w:p>
    <w:p>
      <w:pPr>
        <w:spacing w:line="324" w:lineRule="auto"/>
        <w:ind w:firstLine="606"/>
        <w:rPr>
          <w:rFonts w:ascii="仿宋" w:hAnsi="仿宋" w:eastAsia="仿宋"/>
          <w:sz w:val="32"/>
        </w:rPr>
      </w:pPr>
      <w:r>
        <w:rPr>
          <w:rFonts w:hint="eastAsia" w:ascii="仿宋" w:hAnsi="仿宋" w:eastAsia="仿宋"/>
          <w:b/>
          <w:sz w:val="32"/>
        </w:rPr>
        <w:t>1.政府性基金预算财政拨款支出决算总体情况。</w:t>
      </w:r>
    </w:p>
    <w:p>
      <w:pPr>
        <w:spacing w:line="324" w:lineRule="auto"/>
        <w:ind w:firstLine="606"/>
        <w:rPr>
          <w:rFonts w:ascii="仿宋_GB2312" w:hAnsi="仿宋_GB2312" w:eastAsia="仿宋_GB2312"/>
          <w:b/>
          <w:sz w:val="32"/>
        </w:rPr>
      </w:pPr>
      <w:r>
        <w:rPr>
          <w:rFonts w:hint="eastAsia" w:ascii="仿宋" w:hAnsi="仿宋" w:eastAsia="仿宋"/>
          <w:sz w:val="32"/>
        </w:rPr>
        <w:t>2020年度政府性基金预算财政拨款支出0万元，占本年支出合计的0%。与2019年相比，政府性基金预算财政拨款支出增加0万元，与上一年持平，增长0%。主要原因是：无政府性基金预算财政拨款支出。</w:t>
      </w:r>
    </w:p>
    <w:p>
      <w:pPr>
        <w:spacing w:line="324" w:lineRule="auto"/>
        <w:ind w:firstLine="606"/>
        <w:rPr>
          <w:rFonts w:ascii="仿宋" w:hAnsi="仿宋" w:eastAsia="仿宋"/>
          <w:sz w:val="32"/>
        </w:rPr>
      </w:pPr>
      <w:r>
        <w:rPr>
          <w:rFonts w:hint="eastAsia" w:ascii="仿宋" w:hAnsi="仿宋" w:eastAsia="仿宋"/>
          <w:b/>
          <w:sz w:val="32"/>
        </w:rPr>
        <w:t>2.政府性基金预算财政拨款支出决算结构情况。</w:t>
      </w:r>
    </w:p>
    <w:p>
      <w:pPr>
        <w:spacing w:line="324" w:lineRule="auto"/>
        <w:ind w:firstLine="606"/>
        <w:rPr>
          <w:rFonts w:ascii="仿宋" w:hAnsi="仿宋" w:eastAsia="仿宋"/>
          <w:b/>
          <w:sz w:val="32"/>
        </w:rPr>
      </w:pPr>
      <w:r>
        <w:rPr>
          <w:rFonts w:hint="eastAsia" w:ascii="仿宋" w:hAnsi="仿宋" w:eastAsia="仿宋"/>
          <w:sz w:val="32"/>
        </w:rPr>
        <w:t>2020年度政府性基金预算财政拨款支出0万元，主要用于以下方面：科学技术（类）支出</w:t>
      </w:r>
      <w:r>
        <w:rPr>
          <w:rFonts w:hint="eastAsia" w:ascii="仿宋" w:hAnsi="仿宋" w:eastAsia="仿宋"/>
          <w:sz w:val="30"/>
          <w:lang w:val="zh-CN"/>
        </w:rPr>
        <w:t>0</w:t>
      </w:r>
      <w:r>
        <w:rPr>
          <w:rFonts w:hint="eastAsia" w:ascii="仿宋" w:hAnsi="仿宋" w:eastAsia="仿宋"/>
          <w:sz w:val="32"/>
        </w:rPr>
        <w:t>万元,占0%；文化旅游体育与传媒（类）支出</w:t>
      </w:r>
      <w:r>
        <w:rPr>
          <w:rFonts w:hint="eastAsia" w:ascii="仿宋" w:hAnsi="仿宋" w:eastAsia="仿宋"/>
          <w:sz w:val="30"/>
          <w:lang w:val="zh-CN"/>
        </w:rPr>
        <w:t>0</w:t>
      </w:r>
      <w:r>
        <w:rPr>
          <w:rFonts w:hint="eastAsia" w:ascii="仿宋" w:hAnsi="仿宋" w:eastAsia="仿宋"/>
          <w:sz w:val="32"/>
        </w:rPr>
        <w:t>万元,占0%；社会保障和就业（类）支出</w:t>
      </w:r>
      <w:r>
        <w:rPr>
          <w:rFonts w:hint="eastAsia" w:ascii="仿宋" w:hAnsi="仿宋" w:eastAsia="仿宋"/>
          <w:sz w:val="30"/>
          <w:lang w:val="zh-CN"/>
        </w:rPr>
        <w:t>0</w:t>
      </w:r>
      <w:r>
        <w:rPr>
          <w:rFonts w:hint="eastAsia" w:ascii="仿宋" w:hAnsi="仿宋" w:eastAsia="仿宋"/>
          <w:sz w:val="32"/>
        </w:rPr>
        <w:t>万元,占0%；节能环保（类）支出</w:t>
      </w:r>
      <w:r>
        <w:rPr>
          <w:rFonts w:hint="eastAsia" w:ascii="仿宋" w:hAnsi="仿宋" w:eastAsia="仿宋"/>
          <w:sz w:val="30"/>
          <w:lang w:val="zh-CN"/>
        </w:rPr>
        <w:t>0</w:t>
      </w:r>
      <w:r>
        <w:rPr>
          <w:rFonts w:hint="eastAsia" w:ascii="仿宋" w:hAnsi="仿宋" w:eastAsia="仿宋"/>
          <w:sz w:val="32"/>
        </w:rPr>
        <w:t>万元,占0%；城乡社区（类）支出</w:t>
      </w:r>
      <w:r>
        <w:rPr>
          <w:rFonts w:hint="eastAsia" w:ascii="仿宋" w:hAnsi="仿宋" w:eastAsia="仿宋"/>
          <w:sz w:val="30"/>
          <w:lang w:val="zh-CN"/>
        </w:rPr>
        <w:t>0</w:t>
      </w:r>
      <w:r>
        <w:rPr>
          <w:rFonts w:hint="eastAsia" w:ascii="仿宋" w:hAnsi="仿宋" w:eastAsia="仿宋"/>
          <w:sz w:val="32"/>
        </w:rPr>
        <w:t>万元,占0%；农林水（类）支出</w:t>
      </w:r>
      <w:r>
        <w:rPr>
          <w:rFonts w:hint="eastAsia" w:ascii="仿宋" w:hAnsi="仿宋" w:eastAsia="仿宋"/>
          <w:sz w:val="30"/>
          <w:lang w:val="zh-CN"/>
        </w:rPr>
        <w:t>0</w:t>
      </w:r>
      <w:r>
        <w:rPr>
          <w:rFonts w:hint="eastAsia" w:ascii="仿宋" w:hAnsi="仿宋" w:eastAsia="仿宋"/>
          <w:sz w:val="32"/>
        </w:rPr>
        <w:t>万元,占0%；交通运输（类）支出</w:t>
      </w:r>
      <w:r>
        <w:rPr>
          <w:rFonts w:hint="eastAsia" w:ascii="仿宋" w:hAnsi="仿宋" w:eastAsia="仿宋"/>
          <w:sz w:val="30"/>
          <w:lang w:val="zh-CN"/>
        </w:rPr>
        <w:t>0</w:t>
      </w:r>
      <w:r>
        <w:rPr>
          <w:rFonts w:hint="eastAsia" w:ascii="仿宋" w:hAnsi="仿宋" w:eastAsia="仿宋"/>
          <w:sz w:val="32"/>
        </w:rPr>
        <w:t>万元,占0%；资源勘探信息等（类）支出</w:t>
      </w:r>
      <w:r>
        <w:rPr>
          <w:rFonts w:hint="eastAsia" w:ascii="仿宋" w:hAnsi="仿宋" w:eastAsia="仿宋"/>
          <w:sz w:val="30"/>
          <w:lang w:val="zh-CN"/>
        </w:rPr>
        <w:t>0</w:t>
      </w:r>
      <w:r>
        <w:rPr>
          <w:rFonts w:hint="eastAsia" w:ascii="仿宋" w:hAnsi="仿宋" w:eastAsia="仿宋"/>
          <w:sz w:val="32"/>
        </w:rPr>
        <w:t>万元,占0%；金融（类）支出</w:t>
      </w:r>
      <w:r>
        <w:rPr>
          <w:rFonts w:hint="eastAsia" w:ascii="仿宋" w:hAnsi="仿宋" w:eastAsia="仿宋"/>
          <w:sz w:val="30"/>
          <w:lang w:val="zh-CN"/>
        </w:rPr>
        <w:t>0</w:t>
      </w:r>
      <w:r>
        <w:rPr>
          <w:rFonts w:hint="eastAsia" w:ascii="仿宋" w:hAnsi="仿宋" w:eastAsia="仿宋"/>
          <w:sz w:val="32"/>
        </w:rPr>
        <w:t>万元,占0%；其他（类）支出</w:t>
      </w:r>
      <w:r>
        <w:rPr>
          <w:rFonts w:hint="eastAsia" w:ascii="仿宋" w:hAnsi="仿宋" w:eastAsia="仿宋"/>
          <w:sz w:val="30"/>
          <w:lang w:val="zh-CN"/>
        </w:rPr>
        <w:t>0</w:t>
      </w:r>
      <w:r>
        <w:rPr>
          <w:rFonts w:hint="eastAsia" w:ascii="仿宋" w:hAnsi="仿宋" w:eastAsia="仿宋"/>
          <w:sz w:val="32"/>
        </w:rPr>
        <w:t>万元,占0%；债务付息（类）支出</w:t>
      </w:r>
      <w:r>
        <w:rPr>
          <w:rFonts w:hint="eastAsia" w:ascii="仿宋" w:hAnsi="仿宋" w:eastAsia="仿宋"/>
          <w:sz w:val="30"/>
          <w:lang w:val="zh-CN"/>
        </w:rPr>
        <w:t>0</w:t>
      </w:r>
      <w:r>
        <w:rPr>
          <w:rFonts w:hint="eastAsia" w:ascii="仿宋" w:hAnsi="仿宋" w:eastAsia="仿宋"/>
          <w:sz w:val="32"/>
        </w:rPr>
        <w:t>万元,占0%；抗疫特别国债安排（类）支出</w:t>
      </w:r>
      <w:r>
        <w:rPr>
          <w:rFonts w:hint="eastAsia" w:ascii="仿宋" w:hAnsi="仿宋" w:eastAsia="仿宋"/>
          <w:sz w:val="30"/>
          <w:lang w:val="zh-CN"/>
        </w:rPr>
        <w:t>0</w:t>
      </w:r>
      <w:r>
        <w:rPr>
          <w:rFonts w:hint="eastAsia" w:ascii="仿宋" w:hAnsi="仿宋" w:eastAsia="仿宋"/>
          <w:sz w:val="32"/>
        </w:rPr>
        <w:t>万元,占0%。</w:t>
      </w:r>
    </w:p>
    <w:p>
      <w:pPr>
        <w:spacing w:line="324" w:lineRule="auto"/>
        <w:ind w:firstLine="594"/>
        <w:rPr>
          <w:rFonts w:ascii="仿宋" w:hAnsi="仿宋" w:eastAsia="仿宋"/>
          <w:sz w:val="32"/>
        </w:rPr>
      </w:pPr>
      <w:r>
        <w:rPr>
          <w:rFonts w:hint="eastAsia" w:ascii="仿宋" w:hAnsi="仿宋" w:eastAsia="仿宋"/>
          <w:b/>
          <w:sz w:val="32"/>
        </w:rPr>
        <w:t>3.政府性基金预算财政拨款支出决算具体情况。</w:t>
      </w:r>
    </w:p>
    <w:p>
      <w:pPr>
        <w:spacing w:line="324" w:lineRule="auto"/>
        <w:ind w:firstLine="594"/>
        <w:rPr>
          <w:rFonts w:ascii="仿宋" w:hAnsi="仿宋" w:eastAsia="仿宋"/>
          <w:sz w:val="32"/>
        </w:rPr>
      </w:pPr>
      <w:r>
        <w:rPr>
          <w:rFonts w:hint="eastAsia" w:ascii="仿宋" w:hAnsi="仿宋" w:eastAsia="仿宋"/>
          <w:sz w:val="32"/>
        </w:rPr>
        <w:t>2020年度政府性基金预算财政拨款支出年初预算为0万元，支出决算为0万元,完成年初预算的0%，主要原因是2020年度无政府性基金预算财政拨款。</w:t>
      </w:r>
    </w:p>
    <w:p>
      <w:pPr>
        <w:numPr>
          <w:ilvl w:val="0"/>
          <w:numId w:val="2"/>
        </w:numPr>
        <w:spacing w:line="324" w:lineRule="auto"/>
        <w:ind w:firstLine="594"/>
        <w:outlineLvl w:val="1"/>
        <w:rPr>
          <w:rFonts w:ascii="楷体" w:hAnsi="楷体" w:eastAsia="楷体"/>
          <w:b/>
          <w:sz w:val="32"/>
        </w:rPr>
      </w:pPr>
      <w:bookmarkStart w:id="31" w:name="_Toc10047_WPSOffice_Level2"/>
      <w:r>
        <w:rPr>
          <w:rFonts w:hint="eastAsia" w:ascii="楷体" w:hAnsi="楷体" w:eastAsia="楷体"/>
          <w:b/>
          <w:sz w:val="32"/>
        </w:rPr>
        <w:t>国有资本经营预算财政拨款支出</w:t>
      </w:r>
      <w:r>
        <w:rPr>
          <w:rFonts w:hint="eastAsia" w:ascii="楷体" w:hAnsi="楷体" w:eastAsia="楷体"/>
          <w:b/>
          <w:sz w:val="32"/>
          <w:lang w:val="zh-CN"/>
        </w:rPr>
        <w:t>决算</w:t>
      </w:r>
      <w:r>
        <w:rPr>
          <w:rFonts w:hint="eastAsia" w:ascii="楷体" w:hAnsi="楷体" w:eastAsia="楷体"/>
          <w:b/>
          <w:sz w:val="32"/>
        </w:rPr>
        <w:t>总体情况说明</w:t>
      </w:r>
      <w:bookmarkEnd w:id="31"/>
    </w:p>
    <w:p>
      <w:pPr>
        <w:spacing w:line="324" w:lineRule="auto"/>
        <w:rPr>
          <w:rFonts w:ascii="仿宋" w:hAnsi="仿宋" w:eastAsia="仿宋"/>
          <w:b/>
          <w:sz w:val="32"/>
        </w:rPr>
      </w:pPr>
      <w:r>
        <w:rPr>
          <w:rFonts w:hint="eastAsia" w:ascii="仿宋" w:hAnsi="仿宋" w:eastAsia="仿宋"/>
          <w:sz w:val="32"/>
        </w:rPr>
        <w:t>本单位2020年度无国有资本经营预算财政拨款收支安排，故无相关数据。</w:t>
      </w:r>
    </w:p>
    <w:p>
      <w:pPr>
        <w:spacing w:line="324" w:lineRule="auto"/>
        <w:ind w:firstLine="606"/>
        <w:rPr>
          <w:rFonts w:ascii="仿宋" w:hAnsi="仿宋" w:eastAsia="仿宋"/>
          <w:sz w:val="32"/>
        </w:rPr>
      </w:pPr>
      <w:r>
        <w:rPr>
          <w:rFonts w:hint="eastAsia" w:ascii="仿宋" w:hAnsi="仿宋" w:eastAsia="仿宋"/>
          <w:b/>
          <w:sz w:val="32"/>
        </w:rPr>
        <w:t>1.国有资本经营预算财政拨款支出决算总体情况。</w:t>
      </w:r>
    </w:p>
    <w:p>
      <w:pPr>
        <w:spacing w:line="324" w:lineRule="auto"/>
        <w:ind w:firstLine="606"/>
        <w:rPr>
          <w:rFonts w:ascii="仿宋_GB2312" w:hAnsi="仿宋_GB2312" w:eastAsia="仿宋_GB2312"/>
          <w:b/>
          <w:sz w:val="32"/>
        </w:rPr>
      </w:pPr>
      <w:r>
        <w:rPr>
          <w:rFonts w:hint="eastAsia" w:ascii="仿宋" w:hAnsi="仿宋" w:eastAsia="仿宋"/>
          <w:sz w:val="32"/>
        </w:rPr>
        <w:t>2020年度国有资本经营预算财政拨款支出0万元，占本年支出合计的0%。</w:t>
      </w:r>
    </w:p>
    <w:p>
      <w:pPr>
        <w:spacing w:line="324" w:lineRule="auto"/>
        <w:ind w:firstLine="606"/>
        <w:rPr>
          <w:rFonts w:ascii="仿宋" w:hAnsi="仿宋" w:eastAsia="仿宋"/>
          <w:sz w:val="32"/>
        </w:rPr>
      </w:pPr>
      <w:r>
        <w:rPr>
          <w:rFonts w:hint="eastAsia" w:ascii="仿宋" w:hAnsi="仿宋" w:eastAsia="仿宋"/>
          <w:b/>
          <w:sz w:val="32"/>
        </w:rPr>
        <w:t>2.国有资本经营预算财政拨款支出决算结构情况。</w:t>
      </w:r>
    </w:p>
    <w:p>
      <w:pPr>
        <w:spacing w:line="324" w:lineRule="auto"/>
        <w:ind w:firstLine="606"/>
        <w:rPr>
          <w:rFonts w:ascii="仿宋" w:hAnsi="仿宋" w:eastAsia="仿宋"/>
          <w:b/>
          <w:sz w:val="32"/>
        </w:rPr>
      </w:pPr>
      <w:r>
        <w:rPr>
          <w:rFonts w:hint="eastAsia" w:ascii="仿宋" w:hAnsi="仿宋" w:eastAsia="仿宋"/>
          <w:sz w:val="32"/>
        </w:rPr>
        <w:t>2020年度国有资本经营预算财政拨款支出0万元，主要用于以下方面：国有资本经营（类）支出</w:t>
      </w:r>
      <w:r>
        <w:rPr>
          <w:rFonts w:hint="eastAsia" w:ascii="仿宋" w:hAnsi="仿宋" w:eastAsia="仿宋"/>
          <w:sz w:val="30"/>
          <w:lang w:val="zh-CN"/>
        </w:rPr>
        <w:t>0</w:t>
      </w:r>
      <w:r>
        <w:rPr>
          <w:rFonts w:hint="eastAsia" w:ascii="仿宋" w:hAnsi="仿宋" w:eastAsia="仿宋"/>
          <w:sz w:val="32"/>
        </w:rPr>
        <w:t>万元,占0%。</w:t>
      </w:r>
    </w:p>
    <w:p>
      <w:pPr>
        <w:spacing w:line="324" w:lineRule="auto"/>
        <w:ind w:firstLine="594"/>
        <w:rPr>
          <w:rFonts w:ascii="仿宋" w:hAnsi="仿宋" w:eastAsia="仿宋"/>
          <w:sz w:val="32"/>
        </w:rPr>
      </w:pPr>
      <w:r>
        <w:rPr>
          <w:rFonts w:hint="eastAsia" w:ascii="仿宋" w:hAnsi="仿宋" w:eastAsia="仿宋"/>
          <w:b/>
          <w:sz w:val="32"/>
        </w:rPr>
        <w:t>3.国有资本经营预算财政拨款支出决算具体情况。</w:t>
      </w:r>
    </w:p>
    <w:p>
      <w:pPr>
        <w:spacing w:line="324" w:lineRule="auto"/>
        <w:ind w:firstLine="594"/>
        <w:rPr>
          <w:rFonts w:ascii="仿宋" w:hAnsi="仿宋" w:eastAsia="仿宋"/>
          <w:sz w:val="32"/>
        </w:rPr>
      </w:pPr>
      <w:r>
        <w:rPr>
          <w:rFonts w:hint="eastAsia" w:ascii="仿宋" w:hAnsi="仿宋" w:eastAsia="仿宋"/>
          <w:sz w:val="32"/>
        </w:rPr>
        <w:t>2020年度国有资本经营预算财政拨款支出年初预算为0万元，支出决算为0万元,完成年初预算的0%，主要原因是2020年度无国有资本经营预算财政拨款支出。</w:t>
      </w:r>
    </w:p>
    <w:p>
      <w:pPr>
        <w:spacing w:line="324" w:lineRule="auto"/>
        <w:ind w:firstLine="594"/>
        <w:outlineLvl w:val="1"/>
        <w:rPr>
          <w:rFonts w:eastAsia="Times New Roman"/>
          <w:b/>
          <w:sz w:val="32"/>
        </w:rPr>
      </w:pPr>
      <w:bookmarkStart w:id="32" w:name="_Toc28470_WPSOffice_Level2"/>
      <w:r>
        <w:rPr>
          <w:rFonts w:hint="eastAsia" w:ascii="楷体" w:hAnsi="楷体" w:eastAsia="楷体"/>
          <w:b/>
          <w:sz w:val="32"/>
        </w:rPr>
        <w:t>（九）一般公共预算财政拨款</w:t>
      </w:r>
      <w:r>
        <w:rPr>
          <w:rFonts w:ascii="楷体" w:hAnsi="楷体" w:eastAsia="楷体"/>
          <w:b/>
          <w:sz w:val="32"/>
        </w:rPr>
        <w:t>“</w:t>
      </w:r>
      <w:r>
        <w:rPr>
          <w:rFonts w:hint="eastAsia" w:ascii="楷体" w:hAnsi="楷体" w:eastAsia="楷体"/>
          <w:b/>
          <w:sz w:val="32"/>
        </w:rPr>
        <w:t>三公</w:t>
      </w:r>
      <w:r>
        <w:rPr>
          <w:rFonts w:ascii="楷体" w:hAnsi="楷体" w:eastAsia="楷体"/>
          <w:b/>
          <w:sz w:val="32"/>
        </w:rPr>
        <w:t>”</w:t>
      </w:r>
      <w:r>
        <w:rPr>
          <w:rFonts w:hint="eastAsia" w:ascii="楷体" w:hAnsi="楷体" w:eastAsia="楷体"/>
          <w:b/>
          <w:sz w:val="32"/>
        </w:rPr>
        <w:t>经费支出决算情况说明</w:t>
      </w:r>
      <w:bookmarkEnd w:id="32"/>
    </w:p>
    <w:p>
      <w:pPr>
        <w:spacing w:line="324" w:lineRule="auto"/>
        <w:ind w:firstLine="594"/>
        <w:rPr>
          <w:rFonts w:ascii="仿宋" w:hAnsi="仿宋" w:eastAsia="仿宋"/>
          <w:b/>
          <w:sz w:val="32"/>
        </w:rPr>
      </w:pPr>
      <w:r>
        <w:rPr>
          <w:rFonts w:hint="eastAsia" w:ascii="仿宋" w:hAnsi="仿宋" w:eastAsia="仿宋"/>
          <w:b/>
          <w:sz w:val="32"/>
        </w:rPr>
        <w:t>1.</w:t>
      </w:r>
      <w:r>
        <w:rPr>
          <w:rFonts w:ascii="仿宋" w:hAnsi="仿宋" w:eastAsia="仿宋"/>
          <w:b/>
          <w:sz w:val="32"/>
        </w:rPr>
        <w:t>“</w:t>
      </w:r>
      <w:r>
        <w:rPr>
          <w:rFonts w:hint="eastAsia" w:ascii="仿宋" w:hAnsi="仿宋" w:eastAsia="仿宋"/>
          <w:b/>
          <w:sz w:val="32"/>
        </w:rPr>
        <w:t>三公</w:t>
      </w:r>
      <w:r>
        <w:rPr>
          <w:rFonts w:ascii="仿宋" w:hAnsi="仿宋" w:eastAsia="仿宋"/>
          <w:b/>
          <w:sz w:val="32"/>
        </w:rPr>
        <w:t>”</w:t>
      </w:r>
      <w:r>
        <w:rPr>
          <w:rFonts w:hint="eastAsia" w:ascii="仿宋" w:hAnsi="仿宋" w:eastAsia="仿宋"/>
          <w:b/>
          <w:sz w:val="32"/>
        </w:rPr>
        <w:t xml:space="preserve">经费一般公共预算财政拨款支出决算总体情况说明。 </w:t>
      </w:r>
    </w:p>
    <w:p>
      <w:pPr>
        <w:spacing w:line="324" w:lineRule="auto"/>
        <w:ind w:firstLine="594"/>
        <w:rPr>
          <w:rFonts w:ascii="仿宋" w:hAnsi="仿宋" w:eastAsia="仿宋"/>
          <w:sz w:val="32"/>
        </w:rPr>
      </w:pPr>
      <w:r>
        <w:rPr>
          <w:rFonts w:hint="eastAsia" w:ascii="仿宋" w:hAnsi="仿宋" w:eastAsia="仿宋"/>
          <w:sz w:val="32"/>
        </w:rPr>
        <w:t>2020年度</w:t>
      </w:r>
      <w:r>
        <w:rPr>
          <w:rFonts w:ascii="仿宋" w:hAnsi="仿宋" w:eastAsia="仿宋"/>
          <w:sz w:val="32"/>
        </w:rPr>
        <w:t>“</w:t>
      </w:r>
      <w:r>
        <w:rPr>
          <w:rFonts w:hint="eastAsia" w:ascii="仿宋" w:hAnsi="仿宋" w:eastAsia="仿宋"/>
          <w:sz w:val="32"/>
        </w:rPr>
        <w:t>三公</w:t>
      </w:r>
      <w:r>
        <w:rPr>
          <w:rFonts w:ascii="仿宋" w:hAnsi="仿宋" w:eastAsia="仿宋"/>
          <w:sz w:val="32"/>
        </w:rPr>
        <w:t>”</w:t>
      </w:r>
      <w:r>
        <w:rPr>
          <w:rFonts w:hint="eastAsia" w:ascii="仿宋" w:hAnsi="仿宋" w:eastAsia="仿宋"/>
          <w:sz w:val="32"/>
        </w:rPr>
        <w:t>经费一般公共预算财政拨款支出预算为1.75万元，支出决算为1.08万元，完成预算的61.7%,2020年度</w:t>
      </w:r>
      <w:r>
        <w:rPr>
          <w:rFonts w:ascii="仿宋" w:hAnsi="仿宋" w:eastAsia="仿宋"/>
          <w:sz w:val="32"/>
        </w:rPr>
        <w:t>“</w:t>
      </w:r>
      <w:r>
        <w:rPr>
          <w:rFonts w:hint="eastAsia" w:ascii="仿宋" w:hAnsi="仿宋" w:eastAsia="仿宋"/>
          <w:sz w:val="32"/>
        </w:rPr>
        <w:t>三公</w:t>
      </w:r>
      <w:r>
        <w:rPr>
          <w:rFonts w:ascii="仿宋" w:hAnsi="仿宋" w:eastAsia="仿宋"/>
          <w:sz w:val="32"/>
        </w:rPr>
        <w:t>”</w:t>
      </w:r>
      <w:r>
        <w:rPr>
          <w:rFonts w:hint="eastAsia" w:ascii="仿宋" w:hAnsi="仿宋" w:eastAsia="仿宋"/>
          <w:sz w:val="32"/>
        </w:rPr>
        <w:t>经费支出决算数或小于预算数的主要原因是2020年度0.59万元接待费未成功支付。</w:t>
      </w:r>
    </w:p>
    <w:p>
      <w:pPr>
        <w:spacing w:line="324" w:lineRule="auto"/>
        <w:ind w:firstLine="594"/>
        <w:rPr>
          <w:rFonts w:ascii="仿宋" w:hAnsi="仿宋" w:eastAsia="仿宋"/>
          <w:b/>
          <w:sz w:val="32"/>
        </w:rPr>
      </w:pPr>
      <w:r>
        <w:rPr>
          <w:rFonts w:hint="eastAsia" w:ascii="仿宋" w:hAnsi="仿宋" w:eastAsia="仿宋"/>
          <w:b/>
          <w:sz w:val="32"/>
        </w:rPr>
        <w:t>2.</w:t>
      </w:r>
      <w:r>
        <w:rPr>
          <w:rFonts w:ascii="仿宋" w:hAnsi="仿宋" w:eastAsia="仿宋"/>
          <w:b/>
          <w:sz w:val="32"/>
        </w:rPr>
        <w:t>“</w:t>
      </w:r>
      <w:r>
        <w:rPr>
          <w:rFonts w:hint="eastAsia" w:ascii="仿宋" w:hAnsi="仿宋" w:eastAsia="仿宋"/>
          <w:b/>
          <w:sz w:val="32"/>
        </w:rPr>
        <w:t>三公</w:t>
      </w:r>
      <w:r>
        <w:rPr>
          <w:rFonts w:ascii="仿宋" w:hAnsi="仿宋" w:eastAsia="仿宋"/>
          <w:b/>
          <w:sz w:val="32"/>
        </w:rPr>
        <w:t>”</w:t>
      </w:r>
      <w:r>
        <w:rPr>
          <w:rFonts w:hint="eastAsia" w:ascii="仿宋" w:hAnsi="仿宋" w:eastAsia="仿宋"/>
          <w:b/>
          <w:sz w:val="32"/>
        </w:rPr>
        <w:t>经费一般公共预算财政拨款支出决算具体情况说明。</w:t>
      </w:r>
    </w:p>
    <w:p>
      <w:pPr>
        <w:spacing w:line="324" w:lineRule="auto"/>
        <w:ind w:firstLine="594"/>
        <w:rPr>
          <w:rFonts w:ascii="仿宋" w:hAnsi="仿宋" w:eastAsia="仿宋"/>
          <w:sz w:val="32"/>
        </w:rPr>
      </w:pPr>
      <w:r>
        <w:rPr>
          <w:rFonts w:hint="eastAsia" w:ascii="仿宋" w:hAnsi="仿宋" w:eastAsia="仿宋"/>
          <w:sz w:val="32"/>
        </w:rPr>
        <w:t>2020年度</w:t>
      </w:r>
      <w:r>
        <w:rPr>
          <w:rFonts w:ascii="仿宋" w:hAnsi="仿宋" w:eastAsia="仿宋"/>
          <w:sz w:val="32"/>
        </w:rPr>
        <w:t>“</w:t>
      </w:r>
      <w:r>
        <w:rPr>
          <w:rFonts w:hint="eastAsia" w:ascii="仿宋" w:hAnsi="仿宋" w:eastAsia="仿宋"/>
          <w:sz w:val="32"/>
        </w:rPr>
        <w:t>三公</w:t>
      </w:r>
      <w:r>
        <w:rPr>
          <w:rFonts w:ascii="仿宋" w:hAnsi="仿宋" w:eastAsia="仿宋"/>
          <w:sz w:val="32"/>
        </w:rPr>
        <w:t>”</w:t>
      </w:r>
      <w:r>
        <w:rPr>
          <w:rFonts w:hint="eastAsia" w:ascii="仿宋" w:hAnsi="仿宋" w:eastAsia="仿宋"/>
          <w:sz w:val="32"/>
        </w:rPr>
        <w:t>经费一般公共预算财政拨款支出决算中，因公出国（境）费用支出决算为0万元，占0%，与2019年度相比持平，增加0万元，增长0%，主要原因是2020年度无因公出国（境）费用支出；公务用车购置及运行维护费支出决算为0万元，占0%，与2019年度相比持平，增加0万元，增长0%，主要原因是2020年度无公务用车购置及运行维护费支出；公务接待费支出决算为1.08万元，占100%，与2019年度相比，减少0.46万元，下降29.87，2020年度0.59万元接待费未成功支付。具体情况如下：</w:t>
      </w:r>
    </w:p>
    <w:p>
      <w:pPr>
        <w:spacing w:line="324" w:lineRule="auto"/>
        <w:ind w:firstLine="594"/>
        <w:rPr>
          <w:rFonts w:ascii="仿宋" w:hAnsi="仿宋" w:eastAsia="仿宋"/>
          <w:sz w:val="32"/>
        </w:rPr>
      </w:pPr>
      <w:r>
        <w:rPr>
          <w:rFonts w:hint="eastAsia" w:ascii="仿宋" w:hAnsi="仿宋" w:eastAsia="仿宋"/>
          <w:b/>
          <w:sz w:val="32"/>
        </w:rPr>
        <w:t>（1）因公出国（境）费</w:t>
      </w:r>
      <w:r>
        <w:rPr>
          <w:rFonts w:hint="eastAsia" w:ascii="仿宋" w:hAnsi="仿宋" w:eastAsia="仿宋"/>
          <w:sz w:val="32"/>
        </w:rPr>
        <w:t>预算数为0万元，支出决算为</w:t>
      </w:r>
      <w:r>
        <w:rPr>
          <w:rFonts w:hint="eastAsia" w:ascii="仿宋" w:hAnsi="仿宋" w:eastAsia="仿宋"/>
          <w:sz w:val="30"/>
          <w:lang w:val="zh-CN"/>
        </w:rPr>
        <w:t>0</w:t>
      </w:r>
      <w:r>
        <w:rPr>
          <w:rFonts w:hint="eastAsia" w:ascii="仿宋" w:hAnsi="仿宋" w:eastAsia="仿宋"/>
          <w:sz w:val="32"/>
        </w:rPr>
        <w:t>万元。完成预算的0%。主要用于机关及下属预算单位人员的公务出国（境）的住宿费、国际旅费、培训费、公杂费等支出。决算数等于预算数的主要原因是2020年度无因公出国（境）费用支出。全年使用一般公共预算财政拨款支出涉及因公出国(境)团组0个；累计</w:t>
      </w:r>
      <w:r>
        <w:rPr>
          <w:rFonts w:hint="eastAsia" w:ascii="仿宋" w:hAnsi="仿宋" w:eastAsia="仿宋"/>
          <w:sz w:val="30"/>
          <w:lang w:val="zh-CN"/>
        </w:rPr>
        <w:t>0</w:t>
      </w:r>
      <w:r>
        <w:rPr>
          <w:rFonts w:hint="eastAsia" w:ascii="仿宋" w:hAnsi="仿宋" w:eastAsia="仿宋"/>
          <w:sz w:val="32"/>
        </w:rPr>
        <w:t>人次。开支内容包括：无。</w:t>
      </w:r>
    </w:p>
    <w:p>
      <w:pPr>
        <w:spacing w:line="324" w:lineRule="auto"/>
        <w:ind w:firstLine="594"/>
        <w:rPr>
          <w:rFonts w:ascii="仿宋" w:hAnsi="仿宋" w:eastAsia="仿宋"/>
          <w:sz w:val="32"/>
        </w:rPr>
      </w:pPr>
      <w:r>
        <w:rPr>
          <w:rFonts w:hint="eastAsia" w:ascii="仿宋" w:hAnsi="仿宋" w:eastAsia="仿宋"/>
          <w:b/>
          <w:sz w:val="32"/>
        </w:rPr>
        <w:t>（2）公务用车购置及运行维护费</w:t>
      </w:r>
      <w:r>
        <w:rPr>
          <w:rFonts w:hint="eastAsia" w:ascii="仿宋" w:hAnsi="仿宋" w:eastAsia="仿宋"/>
          <w:sz w:val="32"/>
        </w:rPr>
        <w:t>预算数为0万元，支出决算为0万元，完成预算的0%。决算数等于预算数的主要原因是2020年度无公务用车购置及运行维护费支出。</w:t>
      </w:r>
    </w:p>
    <w:p>
      <w:pPr>
        <w:spacing w:line="324" w:lineRule="auto"/>
        <w:ind w:firstLine="594"/>
        <w:rPr>
          <w:rFonts w:ascii="仿宋" w:hAnsi="仿宋" w:eastAsia="仿宋"/>
          <w:sz w:val="32"/>
        </w:rPr>
      </w:pPr>
      <w:r>
        <w:rPr>
          <w:rFonts w:hint="eastAsia" w:ascii="仿宋" w:hAnsi="仿宋" w:eastAsia="仿宋"/>
          <w:b/>
          <w:sz w:val="32"/>
        </w:rPr>
        <w:t>公务用车购置</w:t>
      </w:r>
      <w:r>
        <w:rPr>
          <w:rFonts w:hint="eastAsia" w:ascii="仿宋" w:hAnsi="仿宋" w:eastAsia="仿宋"/>
          <w:sz w:val="32"/>
        </w:rPr>
        <w:t>预算数为0万元，支出决算为</w:t>
      </w:r>
      <w:r>
        <w:rPr>
          <w:rFonts w:hint="eastAsia" w:ascii="仿宋" w:hAnsi="仿宋" w:eastAsia="仿宋"/>
          <w:sz w:val="30"/>
          <w:lang w:val="zh-CN"/>
        </w:rPr>
        <w:t>0</w:t>
      </w:r>
      <w:r>
        <w:rPr>
          <w:rFonts w:hint="eastAsia" w:ascii="仿宋" w:hAnsi="仿宋" w:eastAsia="仿宋"/>
          <w:sz w:val="32"/>
        </w:rPr>
        <w:t>万元（含购置税等附加费用），完成预算的0%。决算数等于预算数的主要原因是2020年度无公务用车购置。主要用于经批准购置的</w:t>
      </w:r>
      <w:r>
        <w:rPr>
          <w:rFonts w:hint="eastAsia" w:ascii="仿宋" w:hAnsi="仿宋" w:eastAsia="仿宋"/>
          <w:sz w:val="30"/>
          <w:lang w:val="zh-CN"/>
        </w:rPr>
        <w:t>0</w:t>
      </w:r>
      <w:r>
        <w:rPr>
          <w:rFonts w:hint="eastAsia" w:ascii="仿宋" w:hAnsi="仿宋" w:eastAsia="仿宋"/>
          <w:sz w:val="32"/>
        </w:rPr>
        <w:t>辆公务用车；</w:t>
      </w:r>
    </w:p>
    <w:p>
      <w:pPr>
        <w:spacing w:line="324" w:lineRule="auto"/>
        <w:ind w:firstLine="594"/>
        <w:rPr>
          <w:rFonts w:ascii="仿宋" w:hAnsi="仿宋" w:eastAsia="仿宋"/>
          <w:sz w:val="32"/>
        </w:rPr>
      </w:pPr>
      <w:r>
        <w:rPr>
          <w:rFonts w:hint="eastAsia" w:ascii="仿宋" w:hAnsi="仿宋" w:eastAsia="仿宋"/>
          <w:b/>
          <w:sz w:val="32"/>
        </w:rPr>
        <w:t>公务用车运行维护费</w:t>
      </w:r>
      <w:r>
        <w:rPr>
          <w:rFonts w:hint="eastAsia" w:ascii="仿宋" w:hAnsi="仿宋" w:eastAsia="仿宋"/>
          <w:sz w:val="32"/>
        </w:rPr>
        <w:t>预算数为0万元，支出</w:t>
      </w:r>
      <w:r>
        <w:rPr>
          <w:rFonts w:hint="eastAsia" w:ascii="仿宋" w:hAnsi="仿宋" w:eastAsia="仿宋"/>
          <w:sz w:val="30"/>
          <w:lang w:val="zh-CN"/>
        </w:rPr>
        <w:t>0</w:t>
      </w:r>
      <w:r>
        <w:rPr>
          <w:rFonts w:hint="eastAsia" w:ascii="仿宋" w:hAnsi="仿宋" w:eastAsia="仿宋"/>
          <w:sz w:val="32"/>
        </w:rPr>
        <w:t>万元，完成预算的0%。决算数等于预算数的主要原因是2020年度无公务用车运行维护费支出。主要用于所需的公务用车燃料费、维修费、过路过桥费、保险费、安全奖励费用等支出；2020年度，本级及所属单位开支一般公共预算财政拨款的公务用车保有量为</w:t>
      </w:r>
      <w:r>
        <w:rPr>
          <w:rFonts w:hint="eastAsia" w:ascii="仿宋" w:hAnsi="仿宋" w:eastAsia="仿宋"/>
          <w:sz w:val="30"/>
          <w:lang w:val="zh-CN"/>
        </w:rPr>
        <w:t>0</w:t>
      </w:r>
      <w:r>
        <w:rPr>
          <w:rFonts w:hint="eastAsia" w:ascii="仿宋" w:hAnsi="仿宋" w:eastAsia="仿宋"/>
          <w:sz w:val="32"/>
        </w:rPr>
        <w:t>辆。</w:t>
      </w:r>
    </w:p>
    <w:p>
      <w:pPr>
        <w:spacing w:line="324" w:lineRule="auto"/>
        <w:ind w:firstLine="594"/>
        <w:rPr>
          <w:rFonts w:ascii="仿宋" w:hAnsi="仿宋" w:eastAsia="仿宋"/>
          <w:sz w:val="32"/>
        </w:rPr>
      </w:pPr>
      <w:r>
        <w:rPr>
          <w:rFonts w:hint="eastAsia" w:ascii="仿宋" w:hAnsi="仿宋" w:eastAsia="仿宋"/>
          <w:b/>
          <w:sz w:val="32"/>
        </w:rPr>
        <w:t>（3）公务接待费</w:t>
      </w:r>
      <w:r>
        <w:rPr>
          <w:rFonts w:hint="eastAsia" w:ascii="仿宋" w:hAnsi="仿宋" w:eastAsia="仿宋"/>
          <w:sz w:val="32"/>
        </w:rPr>
        <w:t>预算数为1.75万元，支出决算为1.08万元，完成预算的61.7%。主要用于接待兄弟县市就业创业业务交流等支出。决算数小于预算数的主要原因是2020年度0.59万元接待费未成功支付。全年使用一般公共预算财政拨款国内公务接待15团组，累计119人次。</w:t>
      </w:r>
    </w:p>
    <w:p>
      <w:pPr>
        <w:spacing w:line="324" w:lineRule="auto"/>
        <w:ind w:firstLine="594"/>
        <w:rPr>
          <w:rFonts w:ascii="仿宋" w:hAnsi="仿宋" w:eastAsia="仿宋"/>
          <w:sz w:val="32"/>
        </w:rPr>
      </w:pPr>
      <w:r>
        <w:rPr>
          <w:rFonts w:hint="eastAsia" w:ascii="仿宋" w:hAnsi="仿宋" w:eastAsia="仿宋"/>
          <w:b/>
          <w:sz w:val="32"/>
        </w:rPr>
        <w:t>外宾接待</w:t>
      </w:r>
      <w:r>
        <w:rPr>
          <w:rFonts w:hint="eastAsia" w:ascii="仿宋" w:hAnsi="仿宋" w:eastAsia="仿宋"/>
          <w:sz w:val="32"/>
        </w:rPr>
        <w:t>支出0万元，主要用于公务接待0团组，0人次。</w:t>
      </w:r>
    </w:p>
    <w:p>
      <w:pPr>
        <w:spacing w:line="324" w:lineRule="auto"/>
        <w:ind w:firstLine="594"/>
        <w:rPr>
          <w:rFonts w:eastAsia="Times New Roman"/>
          <w:sz w:val="32"/>
        </w:rPr>
      </w:pPr>
      <w:r>
        <w:rPr>
          <w:rFonts w:hint="eastAsia" w:ascii="仿宋" w:hAnsi="仿宋" w:eastAsia="仿宋"/>
          <w:b/>
          <w:sz w:val="32"/>
        </w:rPr>
        <w:t>其他国内公务接待</w:t>
      </w:r>
      <w:r>
        <w:rPr>
          <w:rFonts w:hint="eastAsia" w:ascii="仿宋" w:hAnsi="仿宋" w:eastAsia="仿宋"/>
          <w:sz w:val="32"/>
        </w:rPr>
        <w:t>支出1.08万元，主要用于接待兄弟县市就业创业业务交流等支出。接待15团组，119人次。</w:t>
      </w:r>
    </w:p>
    <w:p>
      <w:pPr>
        <w:spacing w:line="324" w:lineRule="auto"/>
        <w:ind w:firstLine="594"/>
        <w:outlineLvl w:val="1"/>
        <w:rPr>
          <w:rFonts w:ascii="仿宋" w:hAnsi="仿宋" w:eastAsia="仿宋"/>
          <w:sz w:val="32"/>
        </w:rPr>
      </w:pPr>
      <w:bookmarkStart w:id="33" w:name="_Toc1801_WPSOffice_Level2"/>
      <w:r>
        <w:rPr>
          <w:rFonts w:hint="eastAsia" w:ascii="楷体" w:hAnsi="楷体" w:eastAsia="楷体"/>
          <w:b/>
          <w:sz w:val="32"/>
        </w:rPr>
        <w:t>（十）机关运行经费支出说明</w:t>
      </w:r>
      <w:bookmarkEnd w:id="33"/>
    </w:p>
    <w:p>
      <w:pPr>
        <w:spacing w:line="324" w:lineRule="auto"/>
        <w:ind w:firstLine="594"/>
        <w:rPr>
          <w:rFonts w:ascii="仿宋" w:hAnsi="仿宋" w:eastAsia="仿宋"/>
          <w:sz w:val="32"/>
        </w:rPr>
      </w:pPr>
      <w:r>
        <w:rPr>
          <w:rFonts w:hint="eastAsia" w:ascii="仿宋" w:hAnsi="仿宋" w:eastAsia="仿宋"/>
          <w:sz w:val="32"/>
        </w:rPr>
        <w:t>2020年度机关运行经费年初预算数为22.04万元，支出决算为</w:t>
      </w:r>
      <w:r>
        <w:rPr>
          <w:rFonts w:hint="eastAsia" w:ascii="仿宋" w:hAnsi="仿宋" w:eastAsia="仿宋"/>
          <w:kern w:val="0"/>
          <w:sz w:val="32"/>
        </w:rPr>
        <w:t>28.42</w:t>
      </w:r>
      <w:r>
        <w:rPr>
          <w:rFonts w:hint="eastAsia" w:ascii="仿宋" w:hAnsi="仿宋" w:eastAsia="仿宋"/>
          <w:sz w:val="32"/>
        </w:rPr>
        <w:t>万元，完成年初预算的128.95%，决算数大于预算数的主要原因对外培训业务增多，差旅费支出增多；比2019年度增加7.74万元，增长37.43%，主要原因是2020年度对外培训业务增多，差旅费支出增多。</w:t>
      </w:r>
    </w:p>
    <w:p>
      <w:pPr>
        <w:spacing w:line="324" w:lineRule="auto"/>
        <w:ind w:firstLine="594"/>
        <w:outlineLvl w:val="1"/>
        <w:rPr>
          <w:rFonts w:ascii="楷体" w:hAnsi="楷体" w:eastAsia="楷体"/>
          <w:b/>
          <w:sz w:val="32"/>
        </w:rPr>
      </w:pPr>
      <w:bookmarkStart w:id="34" w:name="_Toc18583_WPSOffice_Level2"/>
      <w:r>
        <w:rPr>
          <w:rFonts w:hint="eastAsia" w:ascii="楷体" w:hAnsi="楷体" w:eastAsia="楷体"/>
          <w:b/>
          <w:sz w:val="32"/>
        </w:rPr>
        <w:t>（十一）政府采购支出说明</w:t>
      </w:r>
      <w:bookmarkEnd w:id="34"/>
    </w:p>
    <w:p>
      <w:pPr>
        <w:spacing w:line="324" w:lineRule="auto"/>
        <w:ind w:firstLine="594"/>
        <w:rPr>
          <w:rFonts w:ascii="仿宋" w:hAnsi="仿宋" w:eastAsia="仿宋"/>
          <w:sz w:val="32"/>
        </w:rPr>
      </w:pPr>
      <w:r>
        <w:rPr>
          <w:rFonts w:hint="eastAsia" w:ascii="仿宋" w:hAnsi="仿宋" w:eastAsia="仿宋"/>
          <w:sz w:val="32"/>
        </w:rPr>
        <w:t>2020年度政府采购支出总额</w:t>
      </w:r>
      <w:r>
        <w:rPr>
          <w:rFonts w:hint="eastAsia" w:ascii="仿宋" w:hAnsi="仿宋" w:eastAsia="仿宋"/>
          <w:kern w:val="0"/>
          <w:sz w:val="32"/>
        </w:rPr>
        <w:t>23.36</w:t>
      </w:r>
      <w:r>
        <w:rPr>
          <w:rFonts w:hint="eastAsia" w:ascii="仿宋" w:hAnsi="仿宋" w:eastAsia="仿宋"/>
          <w:sz w:val="32"/>
        </w:rPr>
        <w:t>万元，其中：政府采购货物支出</w:t>
      </w:r>
      <w:r>
        <w:rPr>
          <w:rFonts w:hint="eastAsia" w:ascii="仿宋" w:hAnsi="仿宋" w:eastAsia="仿宋"/>
          <w:kern w:val="0"/>
          <w:sz w:val="32"/>
        </w:rPr>
        <w:t>23.36</w:t>
      </w:r>
      <w:r>
        <w:rPr>
          <w:rFonts w:hint="eastAsia" w:ascii="仿宋" w:hAnsi="仿宋" w:eastAsia="仿宋"/>
          <w:sz w:val="32"/>
        </w:rPr>
        <w:t>万元、政府采购工程支出</w:t>
      </w:r>
      <w:r>
        <w:rPr>
          <w:rFonts w:hint="eastAsia" w:ascii="仿宋" w:hAnsi="仿宋" w:eastAsia="仿宋"/>
          <w:kern w:val="0"/>
          <w:sz w:val="32"/>
        </w:rPr>
        <w:t>0</w:t>
      </w:r>
      <w:r>
        <w:rPr>
          <w:rFonts w:hint="eastAsia" w:ascii="仿宋" w:hAnsi="仿宋" w:eastAsia="仿宋"/>
          <w:sz w:val="32"/>
        </w:rPr>
        <w:t>万元、政府采购服务支出</w:t>
      </w:r>
      <w:r>
        <w:rPr>
          <w:rFonts w:hint="eastAsia" w:ascii="仿宋" w:hAnsi="仿宋" w:eastAsia="仿宋"/>
          <w:kern w:val="0"/>
          <w:sz w:val="32"/>
        </w:rPr>
        <w:t>0</w:t>
      </w:r>
      <w:r>
        <w:rPr>
          <w:rFonts w:hint="eastAsia" w:ascii="仿宋" w:hAnsi="仿宋" w:eastAsia="仿宋"/>
          <w:sz w:val="32"/>
        </w:rPr>
        <w:t>万元。授予中小企业合同金额</w:t>
      </w:r>
      <w:r>
        <w:rPr>
          <w:rFonts w:hint="eastAsia" w:ascii="仿宋" w:hAnsi="仿宋" w:eastAsia="仿宋"/>
          <w:kern w:val="0"/>
          <w:sz w:val="32"/>
        </w:rPr>
        <w:t>23.36</w:t>
      </w:r>
      <w:r>
        <w:rPr>
          <w:rFonts w:hint="eastAsia" w:ascii="仿宋" w:hAnsi="仿宋" w:eastAsia="仿宋"/>
          <w:sz w:val="32"/>
        </w:rPr>
        <w:t>万元，占政府采购支出总额的</w:t>
      </w:r>
      <w:r>
        <w:rPr>
          <w:rFonts w:hint="eastAsia" w:ascii="仿宋" w:hAnsi="仿宋" w:eastAsia="仿宋"/>
          <w:kern w:val="0"/>
          <w:sz w:val="32"/>
        </w:rPr>
        <w:t>100</w:t>
      </w:r>
      <w:r>
        <w:rPr>
          <w:rFonts w:hint="eastAsia" w:ascii="仿宋" w:hAnsi="仿宋" w:eastAsia="仿宋"/>
          <w:sz w:val="32"/>
        </w:rPr>
        <w:t>%。其中，授予小微企业合同金额</w:t>
      </w:r>
      <w:r>
        <w:rPr>
          <w:rFonts w:hint="eastAsia" w:ascii="仿宋" w:hAnsi="仿宋" w:eastAsia="仿宋"/>
          <w:kern w:val="0"/>
          <w:sz w:val="32"/>
        </w:rPr>
        <w:t>0</w:t>
      </w:r>
      <w:r>
        <w:rPr>
          <w:rFonts w:hint="eastAsia" w:ascii="仿宋" w:hAnsi="仿宋" w:eastAsia="仿宋"/>
          <w:sz w:val="32"/>
        </w:rPr>
        <w:t>万元，占政府采购支出总额的</w:t>
      </w:r>
      <w:r>
        <w:rPr>
          <w:rFonts w:hint="eastAsia" w:ascii="仿宋" w:hAnsi="仿宋" w:eastAsia="仿宋"/>
          <w:kern w:val="0"/>
          <w:sz w:val="32"/>
        </w:rPr>
        <w:t>0</w:t>
      </w:r>
      <w:r>
        <w:rPr>
          <w:rFonts w:hint="eastAsia" w:ascii="仿宋" w:hAnsi="仿宋" w:eastAsia="仿宋"/>
          <w:sz w:val="32"/>
        </w:rPr>
        <w:t>%。</w:t>
      </w:r>
    </w:p>
    <w:p>
      <w:pPr>
        <w:spacing w:line="324" w:lineRule="auto"/>
        <w:ind w:firstLine="594"/>
        <w:outlineLvl w:val="1"/>
        <w:rPr>
          <w:rFonts w:ascii="楷体" w:hAnsi="楷体" w:eastAsia="楷体"/>
          <w:b/>
          <w:sz w:val="32"/>
        </w:rPr>
      </w:pPr>
      <w:bookmarkStart w:id="35" w:name="_Toc8264_WPSOffice_Level2"/>
      <w:r>
        <w:rPr>
          <w:rFonts w:hint="eastAsia" w:ascii="楷体" w:hAnsi="楷体" w:eastAsia="楷体"/>
          <w:b/>
          <w:sz w:val="32"/>
        </w:rPr>
        <w:t>（十二）国有资产占有情况说明</w:t>
      </w:r>
      <w:bookmarkEnd w:id="35"/>
    </w:p>
    <w:p>
      <w:pPr>
        <w:spacing w:line="324" w:lineRule="auto"/>
        <w:ind w:firstLine="594"/>
        <w:rPr>
          <w:rFonts w:ascii="楷体" w:hAnsi="楷体" w:eastAsia="楷体"/>
          <w:b/>
          <w:sz w:val="32"/>
        </w:rPr>
      </w:pPr>
      <w:r>
        <w:rPr>
          <w:rFonts w:hint="eastAsia" w:ascii="仿宋" w:hAnsi="仿宋" w:eastAsia="仿宋"/>
          <w:sz w:val="32"/>
        </w:rPr>
        <w:t>截至2020年12月31日，</w:t>
      </w:r>
      <w:r>
        <w:rPr>
          <w:rFonts w:hint="eastAsia" w:ascii="仿宋" w:hAnsi="仿宋" w:eastAsia="仿宋"/>
          <w:color w:val="auto"/>
          <w:sz w:val="32"/>
          <w:lang w:eastAsia="zh-CN"/>
        </w:rPr>
        <w:t>就业管理服务处</w:t>
      </w:r>
      <w:r>
        <w:rPr>
          <w:rFonts w:hint="eastAsia" w:ascii="仿宋" w:hAnsi="仿宋" w:eastAsia="仿宋"/>
          <w:sz w:val="32"/>
        </w:rPr>
        <w:t>共有车辆</w:t>
      </w:r>
      <w:r>
        <w:rPr>
          <w:rFonts w:hint="eastAsia" w:ascii="仿宋" w:hAnsi="仿宋" w:eastAsia="仿宋"/>
          <w:kern w:val="0"/>
          <w:sz w:val="32"/>
        </w:rPr>
        <w:t>0</w:t>
      </w:r>
      <w:r>
        <w:rPr>
          <w:rFonts w:hint="eastAsia" w:ascii="仿宋" w:hAnsi="仿宋" w:eastAsia="仿宋"/>
          <w:sz w:val="32"/>
        </w:rPr>
        <w:t>辆，其中，副部（省）级及以上领导用车</w:t>
      </w:r>
      <w:r>
        <w:rPr>
          <w:rFonts w:hint="eastAsia" w:ascii="仿宋" w:hAnsi="仿宋" w:eastAsia="仿宋"/>
          <w:kern w:val="0"/>
          <w:sz w:val="32"/>
        </w:rPr>
        <w:t>0</w:t>
      </w:r>
      <w:r>
        <w:rPr>
          <w:rFonts w:hint="eastAsia" w:ascii="仿宋" w:hAnsi="仿宋" w:eastAsia="仿宋"/>
          <w:sz w:val="32"/>
        </w:rPr>
        <w:t>辆、主要领导干部用车</w:t>
      </w:r>
      <w:r>
        <w:rPr>
          <w:rFonts w:hint="eastAsia" w:ascii="仿宋" w:hAnsi="仿宋" w:eastAsia="仿宋"/>
          <w:kern w:val="0"/>
          <w:sz w:val="32"/>
        </w:rPr>
        <w:t>0</w:t>
      </w:r>
      <w:r>
        <w:rPr>
          <w:rFonts w:hint="eastAsia" w:ascii="仿宋" w:hAnsi="仿宋" w:eastAsia="仿宋"/>
          <w:sz w:val="32"/>
        </w:rPr>
        <w:t>辆、机要通信用车</w:t>
      </w:r>
      <w:r>
        <w:rPr>
          <w:rFonts w:hint="eastAsia" w:ascii="仿宋" w:hAnsi="仿宋" w:eastAsia="仿宋"/>
          <w:kern w:val="0"/>
          <w:sz w:val="32"/>
        </w:rPr>
        <w:t>0</w:t>
      </w:r>
      <w:r>
        <w:rPr>
          <w:rFonts w:hint="eastAsia" w:ascii="仿宋" w:hAnsi="仿宋" w:eastAsia="仿宋"/>
          <w:sz w:val="32"/>
        </w:rPr>
        <w:t>辆、应急保障用车</w:t>
      </w:r>
      <w:r>
        <w:rPr>
          <w:rFonts w:hint="eastAsia" w:ascii="仿宋" w:hAnsi="仿宋" w:eastAsia="仿宋"/>
          <w:kern w:val="0"/>
          <w:sz w:val="32"/>
        </w:rPr>
        <w:t>0</w:t>
      </w:r>
      <w:r>
        <w:rPr>
          <w:rFonts w:hint="eastAsia" w:ascii="仿宋" w:hAnsi="仿宋" w:eastAsia="仿宋"/>
          <w:sz w:val="32"/>
        </w:rPr>
        <w:t>辆、执法执勤用车</w:t>
      </w:r>
      <w:r>
        <w:rPr>
          <w:rFonts w:hint="eastAsia" w:ascii="仿宋" w:hAnsi="仿宋" w:eastAsia="仿宋"/>
          <w:kern w:val="0"/>
          <w:sz w:val="32"/>
        </w:rPr>
        <w:t>0</w:t>
      </w:r>
      <w:r>
        <w:rPr>
          <w:rFonts w:hint="eastAsia" w:ascii="仿宋" w:hAnsi="仿宋" w:eastAsia="仿宋"/>
          <w:sz w:val="32"/>
        </w:rPr>
        <w:t>辆、特种专业技术用车</w:t>
      </w:r>
      <w:r>
        <w:rPr>
          <w:rFonts w:hint="eastAsia" w:ascii="仿宋" w:hAnsi="仿宋" w:eastAsia="仿宋"/>
          <w:kern w:val="0"/>
          <w:sz w:val="32"/>
        </w:rPr>
        <w:t>0</w:t>
      </w:r>
      <w:r>
        <w:rPr>
          <w:rFonts w:hint="eastAsia" w:ascii="仿宋" w:hAnsi="仿宋" w:eastAsia="仿宋"/>
          <w:sz w:val="32"/>
        </w:rPr>
        <w:t>辆、离退休干部用车</w:t>
      </w:r>
      <w:r>
        <w:rPr>
          <w:rFonts w:hint="eastAsia" w:ascii="仿宋" w:hAnsi="仿宋" w:eastAsia="仿宋"/>
          <w:kern w:val="0"/>
          <w:sz w:val="32"/>
        </w:rPr>
        <w:t>0</w:t>
      </w:r>
      <w:r>
        <w:rPr>
          <w:rFonts w:hint="eastAsia" w:ascii="仿宋" w:hAnsi="仿宋" w:eastAsia="仿宋"/>
          <w:sz w:val="32"/>
        </w:rPr>
        <w:t>辆、其他用车</w:t>
      </w:r>
      <w:r>
        <w:rPr>
          <w:rFonts w:hint="eastAsia" w:ascii="仿宋" w:hAnsi="仿宋" w:eastAsia="仿宋"/>
          <w:kern w:val="0"/>
          <w:sz w:val="32"/>
        </w:rPr>
        <w:t>0</w:t>
      </w:r>
      <w:r>
        <w:rPr>
          <w:rFonts w:hint="eastAsia" w:ascii="仿宋" w:hAnsi="仿宋" w:eastAsia="仿宋"/>
          <w:sz w:val="32"/>
        </w:rPr>
        <w:t>辆；单价50万元以上通用设备</w:t>
      </w:r>
      <w:r>
        <w:rPr>
          <w:rFonts w:hint="eastAsia" w:ascii="仿宋" w:hAnsi="仿宋" w:eastAsia="仿宋"/>
          <w:kern w:val="0"/>
          <w:sz w:val="32"/>
        </w:rPr>
        <w:t>0</w:t>
      </w:r>
      <w:r>
        <w:rPr>
          <w:rFonts w:hint="eastAsia" w:ascii="仿宋" w:hAnsi="仿宋" w:eastAsia="仿宋"/>
          <w:sz w:val="32"/>
        </w:rPr>
        <w:t>台（套），单价100万元以上专用设备</w:t>
      </w:r>
      <w:r>
        <w:rPr>
          <w:rFonts w:hint="eastAsia" w:ascii="仿宋" w:hAnsi="仿宋" w:eastAsia="仿宋"/>
          <w:kern w:val="0"/>
          <w:sz w:val="32"/>
        </w:rPr>
        <w:t>0</w:t>
      </w:r>
      <w:r>
        <w:rPr>
          <w:rFonts w:hint="eastAsia" w:ascii="仿宋" w:hAnsi="仿宋" w:eastAsia="仿宋"/>
          <w:sz w:val="32"/>
        </w:rPr>
        <w:t>台（套）。</w:t>
      </w:r>
    </w:p>
    <w:p>
      <w:pPr>
        <w:spacing w:line="324" w:lineRule="auto"/>
        <w:ind w:firstLine="594"/>
        <w:outlineLvl w:val="1"/>
        <w:rPr>
          <w:rFonts w:ascii="仿宋" w:hAnsi="仿宋" w:eastAsia="仿宋"/>
          <w:sz w:val="32"/>
        </w:rPr>
      </w:pPr>
      <w:bookmarkStart w:id="36" w:name="_Toc24023_WPSOffice_Level2"/>
      <w:r>
        <w:rPr>
          <w:rFonts w:hint="eastAsia" w:ascii="楷体" w:hAnsi="楷体" w:eastAsia="楷体"/>
          <w:b/>
          <w:sz w:val="32"/>
        </w:rPr>
        <w:t>（十三）预算绩效情况说明</w:t>
      </w:r>
      <w:bookmarkEnd w:id="36"/>
    </w:p>
    <w:p>
      <w:pPr>
        <w:spacing w:line="324" w:lineRule="auto"/>
        <w:ind w:firstLine="594"/>
        <w:rPr>
          <w:rFonts w:ascii="仿宋" w:hAnsi="仿宋" w:eastAsia="仿宋"/>
          <w:sz w:val="32"/>
        </w:rPr>
      </w:pPr>
      <w:r>
        <w:rPr>
          <w:rFonts w:hint="eastAsia" w:ascii="仿宋" w:hAnsi="仿宋" w:eastAsia="仿宋"/>
          <w:b/>
          <w:sz w:val="32"/>
        </w:rPr>
        <w:t>1.预算绩效管理工作开展情况。</w:t>
      </w:r>
    </w:p>
    <w:p>
      <w:pPr>
        <w:spacing w:line="324" w:lineRule="auto"/>
        <w:ind w:firstLine="594"/>
        <w:rPr>
          <w:rFonts w:ascii="仿宋" w:hAnsi="仿宋" w:eastAsia="仿宋"/>
          <w:sz w:val="32"/>
        </w:rPr>
      </w:pPr>
      <w:r>
        <w:rPr>
          <w:rFonts w:hint="eastAsia" w:ascii="仿宋" w:hAnsi="仿宋" w:eastAsia="仿宋"/>
          <w:sz w:val="32"/>
        </w:rPr>
        <w:t>根据预算绩效管理要求，景宁畲族自治县就业管理服务处组织对2020年度一般公共预算项目支出全面开展绩效自评，其中，二级项目14个，共涉及资金494.37万元，占一般公共预算项目支出总额的63.63%。2020年度无政府性基金预算项目。</w:t>
      </w:r>
    </w:p>
    <w:p>
      <w:pPr>
        <w:spacing w:line="324" w:lineRule="auto"/>
        <w:ind w:firstLine="594"/>
        <w:rPr>
          <w:rFonts w:ascii="仿宋" w:hAnsi="仿宋" w:eastAsia="仿宋"/>
          <w:sz w:val="32"/>
        </w:rPr>
      </w:pPr>
      <w:r>
        <w:rPr>
          <w:rFonts w:hint="eastAsia" w:ascii="仿宋" w:hAnsi="仿宋" w:eastAsia="仿宋"/>
          <w:sz w:val="32"/>
        </w:rPr>
        <w:t>组织对</w:t>
      </w:r>
      <w:r>
        <w:rPr>
          <w:rFonts w:ascii="仿宋" w:hAnsi="仿宋" w:eastAsia="仿宋"/>
          <w:sz w:val="32"/>
        </w:rPr>
        <w:t>“促进就业服务工作经费”“</w:t>
      </w:r>
      <w:r>
        <w:rPr>
          <w:rFonts w:hint="eastAsia" w:ascii="仿宋" w:hAnsi="仿宋" w:eastAsia="仿宋"/>
          <w:sz w:val="32"/>
        </w:rPr>
        <w:t>其他就业补助支出</w:t>
      </w:r>
      <w:r>
        <w:rPr>
          <w:rFonts w:ascii="仿宋" w:hAnsi="仿宋" w:eastAsia="仿宋"/>
          <w:sz w:val="32"/>
        </w:rPr>
        <w:t>”</w:t>
      </w:r>
      <w:r>
        <w:rPr>
          <w:rFonts w:hint="eastAsia" w:ascii="仿宋" w:hAnsi="仿宋" w:eastAsia="仿宋"/>
          <w:sz w:val="32"/>
        </w:rPr>
        <w:t>等14个项目开展了部门评价，涉及一般公共预算支出497.37万元，政府性基金预算支出0万元。其中，对</w:t>
      </w:r>
      <w:r>
        <w:rPr>
          <w:rFonts w:ascii="仿宋" w:hAnsi="仿宋" w:eastAsia="仿宋"/>
          <w:sz w:val="32"/>
        </w:rPr>
        <w:t>“促进就业服务工作经费”“</w:t>
      </w:r>
      <w:r>
        <w:rPr>
          <w:rFonts w:hint="eastAsia" w:ascii="仿宋" w:hAnsi="仿宋" w:eastAsia="仿宋"/>
          <w:sz w:val="32"/>
        </w:rPr>
        <w:t>其他就业补助支出</w:t>
      </w:r>
      <w:r>
        <w:rPr>
          <w:rFonts w:ascii="仿宋" w:hAnsi="仿宋" w:eastAsia="仿宋"/>
          <w:sz w:val="32"/>
        </w:rPr>
        <w:t>”</w:t>
      </w:r>
      <w:r>
        <w:rPr>
          <w:rFonts w:hint="eastAsia" w:ascii="仿宋" w:hAnsi="仿宋" w:eastAsia="仿宋"/>
          <w:sz w:val="32"/>
        </w:rPr>
        <w:t>等项目委托</w:t>
      </w:r>
      <w:r>
        <w:rPr>
          <w:rFonts w:ascii="仿宋" w:hAnsi="仿宋" w:eastAsia="仿宋"/>
          <w:sz w:val="32"/>
        </w:rPr>
        <w:t>“丽水伟峰税务师事务所（普通合伙）”</w:t>
      </w:r>
      <w:r>
        <w:rPr>
          <w:rFonts w:hint="eastAsia" w:ascii="仿宋" w:hAnsi="仿宋" w:eastAsia="仿宋"/>
          <w:sz w:val="32"/>
        </w:rPr>
        <w:t>第三方机构开展绩效评价。从评价情况来看，评价结果为优，各项目都较好地完成年初设定的绩效目标。</w:t>
      </w:r>
    </w:p>
    <w:p>
      <w:pPr>
        <w:spacing w:line="324" w:lineRule="auto"/>
        <w:ind w:firstLine="594"/>
        <w:rPr>
          <w:rFonts w:ascii="仿宋" w:hAnsi="仿宋" w:eastAsia="仿宋"/>
          <w:sz w:val="32"/>
        </w:rPr>
      </w:pPr>
      <w:r>
        <w:rPr>
          <w:rFonts w:hint="eastAsia" w:ascii="仿宋" w:hAnsi="仿宋" w:eastAsia="仿宋"/>
          <w:sz w:val="32"/>
        </w:rPr>
        <w:t>本年无部门整体支出绩效评价。</w:t>
      </w:r>
    </w:p>
    <w:p>
      <w:pPr>
        <w:spacing w:line="324" w:lineRule="auto"/>
        <w:ind w:firstLine="594"/>
        <w:rPr>
          <w:rFonts w:ascii="仿宋" w:hAnsi="仿宋" w:eastAsia="仿宋"/>
          <w:bCs/>
          <w:sz w:val="32"/>
        </w:rPr>
      </w:pPr>
      <w:r>
        <w:rPr>
          <w:rFonts w:hint="eastAsia" w:ascii="仿宋" w:hAnsi="仿宋" w:eastAsia="仿宋"/>
          <w:bCs/>
          <w:sz w:val="32"/>
        </w:rPr>
        <w:t>本年无下属部门或单位整体支出绩效评价。</w:t>
      </w:r>
    </w:p>
    <w:p>
      <w:pPr>
        <w:spacing w:line="324" w:lineRule="auto"/>
        <w:ind w:firstLine="594"/>
        <w:rPr>
          <w:rFonts w:ascii="仿宋" w:hAnsi="仿宋" w:eastAsia="仿宋"/>
          <w:sz w:val="32"/>
        </w:rPr>
      </w:pPr>
      <w:r>
        <w:rPr>
          <w:rFonts w:hint="eastAsia" w:ascii="仿宋" w:hAnsi="仿宋" w:eastAsia="仿宋"/>
          <w:b/>
          <w:sz w:val="32"/>
        </w:rPr>
        <w:t>2.单位决算中项目绩效自评结果。</w:t>
      </w:r>
    </w:p>
    <w:p>
      <w:pPr>
        <w:spacing w:line="324" w:lineRule="auto"/>
        <w:ind w:firstLine="594"/>
        <w:rPr>
          <w:rFonts w:ascii="仿宋" w:hAnsi="仿宋" w:eastAsia="仿宋"/>
          <w:sz w:val="32"/>
        </w:rPr>
      </w:pPr>
      <w:r>
        <w:rPr>
          <w:rFonts w:hint="eastAsia" w:ascii="仿宋" w:hAnsi="仿宋" w:eastAsia="仿宋"/>
          <w:sz w:val="32"/>
        </w:rPr>
        <w:t>景宁畲族自治县就业管理服务处在2020年度单位决算中反映</w:t>
      </w:r>
      <w:r>
        <w:rPr>
          <w:rFonts w:ascii="仿宋" w:hAnsi="仿宋" w:eastAsia="仿宋"/>
          <w:sz w:val="32"/>
        </w:rPr>
        <w:t>促进就业服务工作经费</w:t>
      </w:r>
      <w:r>
        <w:rPr>
          <w:rFonts w:hint="eastAsia" w:ascii="仿宋" w:hAnsi="仿宋" w:eastAsia="仿宋"/>
          <w:sz w:val="32"/>
        </w:rPr>
        <w:t>及就业见习补贴项目绩效自评结果。</w:t>
      </w:r>
    </w:p>
    <w:p>
      <w:pPr>
        <w:spacing w:line="324" w:lineRule="auto"/>
        <w:ind w:firstLine="594"/>
        <w:rPr>
          <w:rFonts w:ascii="仿宋" w:hAnsi="仿宋" w:eastAsia="仿宋"/>
          <w:sz w:val="32"/>
        </w:rPr>
      </w:pPr>
      <w:r>
        <w:rPr>
          <w:rFonts w:ascii="仿宋" w:hAnsi="仿宋" w:eastAsia="仿宋"/>
          <w:sz w:val="32"/>
        </w:rPr>
        <w:t>促进就业服务工作经费</w:t>
      </w:r>
      <w:r>
        <w:rPr>
          <w:rFonts w:hint="eastAsia" w:ascii="仿宋" w:hAnsi="仿宋" w:eastAsia="仿宋"/>
          <w:sz w:val="32"/>
        </w:rPr>
        <w:t>项目绩效自评综述：根据年初设定的绩效目标，项目自评得分94分，自评结论为</w:t>
      </w:r>
      <w:r>
        <w:rPr>
          <w:rFonts w:ascii="仿宋" w:hAnsi="仿宋" w:eastAsia="仿宋"/>
          <w:sz w:val="32"/>
        </w:rPr>
        <w:t>“</w:t>
      </w:r>
      <w:r>
        <w:rPr>
          <w:rFonts w:hint="eastAsia" w:ascii="仿宋" w:hAnsi="仿宋" w:eastAsia="仿宋"/>
          <w:sz w:val="32"/>
        </w:rPr>
        <w:t>优</w:t>
      </w:r>
      <w:r>
        <w:rPr>
          <w:rFonts w:ascii="仿宋" w:hAnsi="仿宋" w:eastAsia="仿宋"/>
          <w:sz w:val="32"/>
        </w:rPr>
        <w:t>”</w:t>
      </w:r>
      <w:r>
        <w:rPr>
          <w:rFonts w:hint="eastAsia" w:ascii="仿宋" w:hAnsi="仿宋" w:eastAsia="仿宋"/>
          <w:sz w:val="32"/>
        </w:rPr>
        <w:t>。项目全年预算数为12万元，执行数为10.03万元，完成预算的85.83%。项目绩效目标完成情况：“促进就业服务工作经费”项目实施后，强化了职业培训、优化了公共就业服务和落实积极的就业创业政策，释放了创业带动就业“倍增效应”，全力推动了大众创业、万众创新，努力促进就业增长，维护社会的和谐稳定。发现的问题及原因：因疫情开展就业工作所需支出增加，经财政局审核从档案数字化经费项目调入2万元，使用0.3万元，结余1.7万元，故调入费用与实际支出不太匹配，导致批复资金与实际支出资金不相符。下一步改进措施：进一步提高预算绩效管理工作的主动性、积极性，完善项目预算编制。</w:t>
      </w:r>
    </w:p>
    <w:p>
      <w:pPr>
        <w:pStyle w:val="2"/>
        <w:rPr>
          <w:rFonts w:hint="default" w:ascii="仿宋" w:hAnsi="仿宋" w:eastAsia="仿宋"/>
          <w:color w:val="auto"/>
          <w:sz w:val="32"/>
        </w:rPr>
      </w:pPr>
    </w:p>
    <w:p>
      <w:pPr>
        <w:pStyle w:val="2"/>
        <w:rPr>
          <w:rFonts w:hint="default" w:ascii="仿宋" w:hAnsi="仿宋" w:eastAsia="仿宋"/>
          <w:color w:val="auto"/>
          <w:sz w:val="32"/>
        </w:rPr>
      </w:pPr>
    </w:p>
    <w:p>
      <w:pPr>
        <w:pStyle w:val="2"/>
        <w:rPr>
          <w:rFonts w:hint="default" w:ascii="仿宋" w:hAnsi="仿宋" w:eastAsia="仿宋"/>
          <w:color w:val="auto"/>
          <w:sz w:val="32"/>
        </w:rPr>
      </w:pPr>
    </w:p>
    <w:tbl>
      <w:tblPr>
        <w:tblStyle w:val="7"/>
        <w:tblW w:w="8965" w:type="dxa"/>
        <w:tblInd w:w="-76" w:type="dxa"/>
        <w:tblLayout w:type="fixed"/>
        <w:tblCellMar>
          <w:top w:w="0" w:type="dxa"/>
          <w:left w:w="0" w:type="dxa"/>
          <w:bottom w:w="0" w:type="dxa"/>
          <w:right w:w="0" w:type="dxa"/>
        </w:tblCellMar>
      </w:tblPr>
      <w:tblGrid>
        <w:gridCol w:w="458"/>
        <w:gridCol w:w="492"/>
        <w:gridCol w:w="885"/>
        <w:gridCol w:w="108"/>
        <w:gridCol w:w="1125"/>
        <w:gridCol w:w="345"/>
        <w:gridCol w:w="1461"/>
        <w:gridCol w:w="1224"/>
        <w:gridCol w:w="252"/>
        <w:gridCol w:w="543"/>
        <w:gridCol w:w="765"/>
        <w:gridCol w:w="300"/>
        <w:gridCol w:w="1007"/>
      </w:tblGrid>
      <w:tr>
        <w:tblPrEx>
          <w:tblCellMar>
            <w:top w:w="0" w:type="dxa"/>
            <w:left w:w="0" w:type="dxa"/>
            <w:bottom w:w="0" w:type="dxa"/>
            <w:right w:w="0" w:type="dxa"/>
          </w:tblCellMar>
        </w:tblPrEx>
        <w:trPr>
          <w:trHeight w:val="450" w:hRule="atLeast"/>
        </w:trPr>
        <w:tc>
          <w:tcPr>
            <w:tcW w:w="8965" w:type="dxa"/>
            <w:gridSpan w:val="13"/>
            <w:tcBorders>
              <w:top w:val="nil"/>
              <w:left w:val="nil"/>
              <w:bottom w:val="nil"/>
              <w:right w:val="nil"/>
            </w:tcBorders>
            <w:shd w:val="clear" w:color="auto" w:fill="FFFFFF"/>
            <w:noWrap/>
            <w:tcMar>
              <w:top w:w="0" w:type="dxa"/>
              <w:left w:w="105" w:type="dxa"/>
              <w:bottom w:w="0" w:type="dxa"/>
              <w:right w:w="105" w:type="dxa"/>
            </w:tcMar>
            <w:vAlign w:val="center"/>
          </w:tcPr>
          <w:p>
            <w:pPr>
              <w:wordWrap w:val="0"/>
              <w:spacing w:line="315" w:lineRule="atLeast"/>
              <w:jc w:val="center"/>
              <w:rPr>
                <w:rFonts w:ascii="微软雅黑" w:hAnsi="微软雅黑" w:eastAsia="微软雅黑" w:cs="宋体"/>
                <w:spacing w:val="7"/>
                <w:kern w:val="0"/>
                <w:sz w:val="28"/>
                <w:szCs w:val="28"/>
              </w:rPr>
            </w:pPr>
            <w:r>
              <w:rPr>
                <w:rFonts w:hint="eastAsia" w:ascii="方正小标宋简体" w:hAnsi="方正小标宋简体" w:eastAsia="方正小标宋简体" w:cs="方正小标宋简体"/>
                <w:spacing w:val="7"/>
                <w:kern w:val="0"/>
                <w:sz w:val="44"/>
                <w:szCs w:val="44"/>
              </w:rPr>
              <w:t>景宁县项目支出绩效自评表</w:t>
            </w:r>
          </w:p>
        </w:tc>
      </w:tr>
      <w:tr>
        <w:tblPrEx>
          <w:tblCellMar>
            <w:top w:w="0" w:type="dxa"/>
            <w:left w:w="0" w:type="dxa"/>
            <w:bottom w:w="0" w:type="dxa"/>
            <w:right w:w="0" w:type="dxa"/>
          </w:tblCellMar>
        </w:tblPrEx>
        <w:trPr>
          <w:trHeight w:val="195" w:hRule="atLeast"/>
        </w:trPr>
        <w:tc>
          <w:tcPr>
            <w:tcW w:w="8965" w:type="dxa"/>
            <w:gridSpan w:val="13"/>
            <w:tcBorders>
              <w:top w:val="nil"/>
              <w:left w:val="nil"/>
              <w:bottom w:val="nil"/>
              <w:right w:val="nil"/>
            </w:tcBorders>
            <w:shd w:val="clear" w:color="auto" w:fill="FFFFFF"/>
            <w:noWrap/>
            <w:tcMar>
              <w:top w:w="0" w:type="dxa"/>
              <w:left w:w="105" w:type="dxa"/>
              <w:bottom w:w="0" w:type="dxa"/>
              <w:right w:w="105" w:type="dxa"/>
            </w:tcMar>
          </w:tcPr>
          <w:p>
            <w:pPr>
              <w:wordWrap w:val="0"/>
              <w:spacing w:line="195" w:lineRule="atLeast"/>
              <w:jc w:val="center"/>
              <w:rPr>
                <w:rFonts w:ascii="宋体" w:hAnsi="宋体" w:cs="宋体"/>
                <w:spacing w:val="7"/>
                <w:kern w:val="0"/>
                <w:sz w:val="18"/>
                <w:szCs w:val="18"/>
              </w:rPr>
            </w:pPr>
            <w:r>
              <w:rPr>
                <w:rFonts w:hint="eastAsia" w:ascii="宋体" w:hAnsi="宋体" w:cs="宋体"/>
                <w:spacing w:val="7"/>
                <w:kern w:val="0"/>
                <w:sz w:val="18"/>
                <w:szCs w:val="18"/>
              </w:rPr>
              <w:t>（2020年度）</w:t>
            </w:r>
          </w:p>
          <w:p>
            <w:pPr>
              <w:wordWrap w:val="0"/>
              <w:spacing w:line="195" w:lineRule="atLeast"/>
              <w:jc w:val="center"/>
              <w:rPr>
                <w:rFonts w:ascii="宋体" w:hAnsi="宋体" w:cs="宋体"/>
                <w:spacing w:val="7"/>
                <w:kern w:val="0"/>
                <w:sz w:val="18"/>
                <w:szCs w:val="18"/>
              </w:rPr>
            </w:pPr>
          </w:p>
        </w:tc>
      </w:tr>
      <w:tr>
        <w:tblPrEx>
          <w:tblCellMar>
            <w:top w:w="0" w:type="dxa"/>
            <w:left w:w="0" w:type="dxa"/>
            <w:bottom w:w="0" w:type="dxa"/>
            <w:right w:w="0" w:type="dxa"/>
          </w:tblCellMar>
        </w:tblPrEx>
        <w:trPr>
          <w:trHeight w:val="300" w:hRule="atLeast"/>
        </w:trPr>
        <w:tc>
          <w:tcPr>
            <w:tcW w:w="950" w:type="dxa"/>
            <w:gridSpan w:val="2"/>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项目名称</w:t>
            </w:r>
          </w:p>
        </w:tc>
        <w:tc>
          <w:tcPr>
            <w:tcW w:w="8015" w:type="dxa"/>
            <w:gridSpan w:val="11"/>
            <w:tcBorders>
              <w:top w:val="single" w:color="auto" w:sz="6" w:space="0"/>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eastAsia="仿宋_GB2312"/>
                <w:sz w:val="28"/>
                <w:szCs w:val="28"/>
              </w:rPr>
              <w:t>促进就业服务工作经费</w:t>
            </w:r>
          </w:p>
        </w:tc>
      </w:tr>
      <w:tr>
        <w:tblPrEx>
          <w:tblCellMar>
            <w:top w:w="0" w:type="dxa"/>
            <w:left w:w="0" w:type="dxa"/>
            <w:bottom w:w="0" w:type="dxa"/>
            <w:right w:w="0" w:type="dxa"/>
          </w:tblCellMar>
        </w:tblPrEx>
        <w:trPr>
          <w:trHeight w:val="300" w:hRule="atLeast"/>
        </w:trPr>
        <w:tc>
          <w:tcPr>
            <w:tcW w:w="950" w:type="dxa"/>
            <w:gridSpan w:val="2"/>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主管部门</w:t>
            </w:r>
          </w:p>
        </w:tc>
        <w:tc>
          <w:tcPr>
            <w:tcW w:w="3924"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315"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景宁畲族自治县人力资源和社会保障局</w:t>
            </w:r>
          </w:p>
        </w:tc>
        <w:tc>
          <w:tcPr>
            <w:tcW w:w="1476"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实施单位</w:t>
            </w:r>
          </w:p>
        </w:tc>
        <w:tc>
          <w:tcPr>
            <w:tcW w:w="2615" w:type="dxa"/>
            <w:gridSpan w:val="4"/>
            <w:tcBorders>
              <w:top w:val="single" w:color="auto" w:sz="6" w:space="0"/>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景宁县就业管理服务处</w:t>
            </w:r>
          </w:p>
        </w:tc>
      </w:tr>
      <w:tr>
        <w:tblPrEx>
          <w:tblCellMar>
            <w:top w:w="0" w:type="dxa"/>
            <w:left w:w="0" w:type="dxa"/>
            <w:bottom w:w="0" w:type="dxa"/>
            <w:right w:w="0" w:type="dxa"/>
          </w:tblCellMar>
        </w:tblPrEx>
        <w:trPr>
          <w:trHeight w:val="495" w:hRule="atLeast"/>
        </w:trPr>
        <w:tc>
          <w:tcPr>
            <w:tcW w:w="950" w:type="dxa"/>
            <w:gridSpan w:val="2"/>
            <w:vMerge w:val="restart"/>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项目资金（万元）</w:t>
            </w:r>
          </w:p>
        </w:tc>
        <w:tc>
          <w:tcPr>
            <w:tcW w:w="2463"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1461"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年初预算数</w:t>
            </w:r>
          </w:p>
        </w:tc>
        <w:tc>
          <w:tcPr>
            <w:tcW w:w="1476"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全年预算数</w:t>
            </w:r>
          </w:p>
        </w:tc>
        <w:tc>
          <w:tcPr>
            <w:tcW w:w="1608" w:type="dxa"/>
            <w:gridSpan w:val="3"/>
            <w:tcBorders>
              <w:top w:val="single" w:color="auto" w:sz="6" w:space="0"/>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全年执行数</w:t>
            </w:r>
          </w:p>
        </w:tc>
        <w:tc>
          <w:tcPr>
            <w:tcW w:w="1007"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执行率</w:t>
            </w: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2463"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年度资金总额</w:t>
            </w:r>
          </w:p>
        </w:tc>
        <w:tc>
          <w:tcPr>
            <w:tcW w:w="1461"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10.00</w:t>
            </w:r>
          </w:p>
        </w:tc>
        <w:tc>
          <w:tcPr>
            <w:tcW w:w="1476"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12.00</w:t>
            </w:r>
          </w:p>
        </w:tc>
        <w:tc>
          <w:tcPr>
            <w:tcW w:w="1608" w:type="dxa"/>
            <w:gridSpan w:val="3"/>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10.30</w:t>
            </w:r>
          </w:p>
        </w:tc>
        <w:tc>
          <w:tcPr>
            <w:tcW w:w="1007"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85.83</w:t>
            </w:r>
            <w:r>
              <w:rPr>
                <w:rFonts w:ascii="仿宋_GB2312" w:hAnsi="仿宋_GB2312" w:eastAsia="仿宋_GB2312" w:cs="仿宋_GB2312"/>
                <w:spacing w:val="7"/>
                <w:sz w:val="24"/>
                <w:szCs w:val="24"/>
              </w:rPr>
              <w:t>%</w:t>
            </w:r>
          </w:p>
        </w:tc>
      </w:tr>
      <w:tr>
        <w:tblPrEx>
          <w:tblCellMar>
            <w:top w:w="0" w:type="dxa"/>
            <w:left w:w="0" w:type="dxa"/>
            <w:bottom w:w="0" w:type="dxa"/>
            <w:right w:w="0" w:type="dxa"/>
          </w:tblCellMar>
        </w:tblPrEx>
        <w:trPr>
          <w:trHeight w:val="315"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2463"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其中：当年财政拨款</w:t>
            </w:r>
          </w:p>
        </w:tc>
        <w:tc>
          <w:tcPr>
            <w:tcW w:w="1461"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10.00</w:t>
            </w:r>
          </w:p>
        </w:tc>
        <w:tc>
          <w:tcPr>
            <w:tcW w:w="1476"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12.00</w:t>
            </w:r>
          </w:p>
        </w:tc>
        <w:tc>
          <w:tcPr>
            <w:tcW w:w="1608" w:type="dxa"/>
            <w:gridSpan w:val="3"/>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10.30</w:t>
            </w:r>
          </w:p>
        </w:tc>
        <w:tc>
          <w:tcPr>
            <w:tcW w:w="1007"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85.83</w:t>
            </w:r>
            <w:r>
              <w:rPr>
                <w:rFonts w:ascii="仿宋_GB2312" w:hAnsi="仿宋_GB2312" w:eastAsia="仿宋_GB2312" w:cs="仿宋_GB2312"/>
                <w:spacing w:val="7"/>
                <w:sz w:val="24"/>
                <w:szCs w:val="24"/>
              </w:rPr>
              <w:t>%</w:t>
            </w: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2463"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      上年结转资金</w:t>
            </w:r>
          </w:p>
        </w:tc>
        <w:tc>
          <w:tcPr>
            <w:tcW w:w="1461"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1476"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1608" w:type="dxa"/>
            <w:gridSpan w:val="3"/>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1007"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2463"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  其他资金</w:t>
            </w:r>
          </w:p>
        </w:tc>
        <w:tc>
          <w:tcPr>
            <w:tcW w:w="1461"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1476"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1608" w:type="dxa"/>
            <w:gridSpan w:val="3"/>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1007"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96" w:hRule="atLeast"/>
        </w:trPr>
        <w:tc>
          <w:tcPr>
            <w:tcW w:w="950" w:type="dxa"/>
            <w:gridSpan w:val="2"/>
            <w:vMerge w:val="restart"/>
            <w:tcBorders>
              <w:top w:val="nil"/>
              <w:left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年度总体目标</w:t>
            </w:r>
          </w:p>
        </w:tc>
        <w:tc>
          <w:tcPr>
            <w:tcW w:w="3924"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预期目标</w:t>
            </w:r>
          </w:p>
        </w:tc>
        <w:tc>
          <w:tcPr>
            <w:tcW w:w="4091" w:type="dxa"/>
            <w:gridSpan w:val="6"/>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实际完成情况</w:t>
            </w:r>
          </w:p>
        </w:tc>
      </w:tr>
      <w:tr>
        <w:tblPrEx>
          <w:tblCellMar>
            <w:top w:w="0" w:type="dxa"/>
            <w:left w:w="0" w:type="dxa"/>
            <w:bottom w:w="0" w:type="dxa"/>
            <w:right w:w="0" w:type="dxa"/>
          </w:tblCellMar>
        </w:tblPrEx>
        <w:trPr>
          <w:trHeight w:val="509"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3924"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12.00万元</w:t>
            </w:r>
          </w:p>
        </w:tc>
        <w:tc>
          <w:tcPr>
            <w:tcW w:w="4091" w:type="dxa"/>
            <w:gridSpan w:val="6"/>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10.30万元</w:t>
            </w:r>
          </w:p>
        </w:tc>
      </w:tr>
      <w:tr>
        <w:tblPrEx>
          <w:tblCellMar>
            <w:top w:w="0" w:type="dxa"/>
            <w:left w:w="0" w:type="dxa"/>
            <w:bottom w:w="0" w:type="dxa"/>
            <w:right w:w="0" w:type="dxa"/>
          </w:tblCellMar>
        </w:tblPrEx>
        <w:trPr>
          <w:trHeight w:val="1079" w:hRule="atLeast"/>
        </w:trPr>
        <w:tc>
          <w:tcPr>
            <w:tcW w:w="458" w:type="dxa"/>
            <w:vMerge w:val="restart"/>
            <w:tcBorders>
              <w:top w:val="nil"/>
              <w:left w:val="single" w:color="auto" w:sz="6" w:space="0"/>
              <w:bottom w:val="nil"/>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绩效指标</w:t>
            </w:r>
          </w:p>
        </w:tc>
        <w:tc>
          <w:tcPr>
            <w:tcW w:w="492" w:type="dxa"/>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一级指标</w:t>
            </w:r>
          </w:p>
        </w:tc>
        <w:tc>
          <w:tcPr>
            <w:tcW w:w="993" w:type="dxa"/>
            <w:gridSpan w:val="2"/>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二级指标</w:t>
            </w:r>
          </w:p>
        </w:tc>
        <w:tc>
          <w:tcPr>
            <w:tcW w:w="1125" w:type="dxa"/>
            <w:tcBorders>
              <w:top w:val="single" w:color="auto" w:sz="6" w:space="0"/>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三级指标</w:t>
            </w:r>
          </w:p>
        </w:tc>
        <w:tc>
          <w:tcPr>
            <w:tcW w:w="1806" w:type="dxa"/>
            <w:gridSpan w:val="2"/>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年度</w:t>
            </w:r>
          </w:p>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指标值</w:t>
            </w:r>
          </w:p>
        </w:tc>
        <w:tc>
          <w:tcPr>
            <w:tcW w:w="1224" w:type="dxa"/>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实际</w:t>
            </w:r>
          </w:p>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完成值</w:t>
            </w:r>
          </w:p>
        </w:tc>
        <w:tc>
          <w:tcPr>
            <w:tcW w:w="795" w:type="dxa"/>
            <w:gridSpan w:val="2"/>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权重</w:t>
            </w:r>
          </w:p>
        </w:tc>
        <w:tc>
          <w:tcPr>
            <w:tcW w:w="765" w:type="dxa"/>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得分</w:t>
            </w:r>
          </w:p>
        </w:tc>
        <w:tc>
          <w:tcPr>
            <w:tcW w:w="1307" w:type="dxa"/>
            <w:gridSpan w:val="2"/>
            <w:tcBorders>
              <w:top w:val="single" w:color="auto" w:sz="6" w:space="0"/>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偏差原因分析及改进措施</w:t>
            </w: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92"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产出指标</w:t>
            </w:r>
          </w:p>
        </w:tc>
        <w:tc>
          <w:tcPr>
            <w:tcW w:w="993" w:type="dxa"/>
            <w:gridSpan w:val="2"/>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数量</w:t>
            </w:r>
          </w:p>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城镇新增就业</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3066人</w:t>
            </w:r>
          </w:p>
        </w:tc>
        <w:tc>
          <w:tcPr>
            <w:tcW w:w="122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3066人</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10</w:t>
            </w:r>
          </w:p>
        </w:tc>
        <w:tc>
          <w:tcPr>
            <w:tcW w:w="76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10</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失业人员再就业</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1617人</w:t>
            </w:r>
          </w:p>
        </w:tc>
        <w:tc>
          <w:tcPr>
            <w:tcW w:w="122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1617人</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10</w:t>
            </w:r>
          </w:p>
        </w:tc>
        <w:tc>
          <w:tcPr>
            <w:tcW w:w="76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10</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szCs w:val="24"/>
              </w:rPr>
            </w:pPr>
            <w:r>
              <w:rPr>
                <w:rFonts w:ascii="仿宋_GB2312" w:hAnsi="仿宋_GB2312" w:eastAsia="仿宋_GB2312" w:cs="仿宋_GB2312"/>
                <w:spacing w:val="7"/>
                <w:kern w:val="0"/>
                <w:sz w:val="24"/>
                <w:szCs w:val="24"/>
              </w:rPr>
              <w:t>就业困难人员再就业</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77人</w:t>
            </w:r>
          </w:p>
        </w:tc>
        <w:tc>
          <w:tcPr>
            <w:tcW w:w="122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77人</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10</w:t>
            </w:r>
          </w:p>
        </w:tc>
        <w:tc>
          <w:tcPr>
            <w:tcW w:w="76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10</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质量</w:t>
            </w:r>
          </w:p>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此项不涉及</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时效</w:t>
            </w:r>
          </w:p>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此项不涉及</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成本</w:t>
            </w:r>
          </w:p>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项目成本控制在预算内</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12.00万元</w:t>
            </w:r>
          </w:p>
        </w:tc>
        <w:tc>
          <w:tcPr>
            <w:tcW w:w="122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10.30</w:t>
            </w:r>
          </w:p>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万元</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20</w:t>
            </w:r>
          </w:p>
        </w:tc>
        <w:tc>
          <w:tcPr>
            <w:tcW w:w="76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16</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92" w:type="dxa"/>
            <w:vMerge w:val="restart"/>
            <w:tcBorders>
              <w:top w:val="single" w:color="auto" w:sz="4" w:space="0"/>
              <w:left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效益指标</w:t>
            </w: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经济效益指标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此项不涉及</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92"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社会效益指标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城镇登记失业率</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≤2.5%</w:t>
            </w:r>
          </w:p>
        </w:tc>
        <w:tc>
          <w:tcPr>
            <w:tcW w:w="122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1.41%</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30</w:t>
            </w:r>
          </w:p>
        </w:tc>
        <w:tc>
          <w:tcPr>
            <w:tcW w:w="76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30</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92"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生态效益指标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此项不涉及</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516" w:hRule="atLeast"/>
        </w:trPr>
        <w:tc>
          <w:tcPr>
            <w:tcW w:w="458" w:type="dxa"/>
            <w:vMerge w:val="restart"/>
            <w:tcBorders>
              <w:top w:val="nil"/>
              <w:left w:val="single" w:color="auto" w:sz="6"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92"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可持续影响指标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此项不涉及</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486"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92"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满意度</w:t>
            </w:r>
          </w:p>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w:t>
            </w: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服务对象满意度指标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服务对象满意度</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≥100.00%</w:t>
            </w:r>
          </w:p>
        </w:tc>
        <w:tc>
          <w:tcPr>
            <w:tcW w:w="122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90%</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20</w:t>
            </w:r>
          </w:p>
        </w:tc>
        <w:tc>
          <w:tcPr>
            <w:tcW w:w="76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18</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541" w:hRule="atLeast"/>
        </w:trPr>
        <w:tc>
          <w:tcPr>
            <w:tcW w:w="6098" w:type="dxa"/>
            <w:gridSpan w:val="8"/>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总分</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100</w:t>
            </w:r>
          </w:p>
        </w:tc>
        <w:tc>
          <w:tcPr>
            <w:tcW w:w="76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94</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1835"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自评结论</w:t>
            </w:r>
          </w:p>
        </w:tc>
        <w:tc>
          <w:tcPr>
            <w:tcW w:w="4263" w:type="dxa"/>
            <w:gridSpan w:val="5"/>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kern w:val="0"/>
                <w:sz w:val="24"/>
                <w:szCs w:val="24"/>
              </w:rPr>
              <w:t>优</w:t>
            </w:r>
            <w:r>
              <w:rPr>
                <w:rFonts w:hint="eastAsia" w:ascii="仿宋_GB2312" w:hAnsi="仿宋_GB2312" w:eastAsia="仿宋_GB2312" w:cs="仿宋_GB2312"/>
                <w:kern w:val="0"/>
                <w:sz w:val="24"/>
                <w:szCs w:val="24"/>
              </w:rPr>
              <w:sym w:font="Wingdings 2" w:char="0052"/>
            </w:r>
            <w:r>
              <w:rPr>
                <w:rFonts w:hint="eastAsia" w:ascii="仿宋_GB2312" w:hAnsi="仿宋_GB2312" w:eastAsia="仿宋_GB2312" w:cs="仿宋_GB2312"/>
                <w:kern w:val="0"/>
                <w:sz w:val="24"/>
                <w:szCs w:val="24"/>
              </w:rPr>
              <w:t xml:space="preserve">      良□      中□    差□</w:t>
            </w:r>
          </w:p>
        </w:tc>
        <w:tc>
          <w:tcPr>
            <w:tcW w:w="2867" w:type="dxa"/>
            <w:gridSpan w:val="5"/>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r>
              <w:rPr>
                <w:rFonts w:hint="eastAsia" w:ascii="仿宋_GB2312" w:hAnsi="仿宋_GB2312" w:eastAsia="仿宋_GB2312" w:cs="仿宋_GB2312"/>
                <w:kern w:val="0"/>
                <w:sz w:val="24"/>
                <w:szCs w:val="24"/>
              </w:rPr>
              <w:t>总分高于90分（含）的结论为“优”，90～80分（含）为“良”，80～60分（含）为“中”，低于60分为“差”。</w:t>
            </w:r>
          </w:p>
        </w:tc>
      </w:tr>
    </w:tbl>
    <w:p>
      <w:pPr>
        <w:pStyle w:val="2"/>
        <w:rPr>
          <w:rFonts w:hint="default"/>
          <w:color w:val="auto"/>
        </w:rPr>
      </w:pPr>
    </w:p>
    <w:p>
      <w:pPr>
        <w:spacing w:line="324" w:lineRule="auto"/>
        <w:ind w:firstLine="594"/>
        <w:rPr>
          <w:rFonts w:ascii="仿宋" w:hAnsi="仿宋" w:eastAsia="仿宋"/>
          <w:sz w:val="32"/>
        </w:rPr>
      </w:pPr>
      <w:r>
        <w:rPr>
          <w:rFonts w:hint="eastAsia" w:ascii="仿宋" w:hAnsi="仿宋" w:eastAsia="仿宋"/>
          <w:sz w:val="32"/>
        </w:rPr>
        <w:t>就业见习补贴项目绩效自评综述：根据年初设定的绩效目标，项目自评得分89分，自评结论为</w:t>
      </w:r>
      <w:r>
        <w:rPr>
          <w:rFonts w:ascii="仿宋" w:hAnsi="仿宋" w:eastAsia="仿宋"/>
          <w:sz w:val="32"/>
        </w:rPr>
        <w:t>“</w:t>
      </w:r>
      <w:r>
        <w:rPr>
          <w:rFonts w:hint="eastAsia" w:ascii="仿宋" w:hAnsi="仿宋" w:eastAsia="仿宋"/>
          <w:sz w:val="32"/>
        </w:rPr>
        <w:t>良</w:t>
      </w:r>
      <w:r>
        <w:rPr>
          <w:rFonts w:ascii="仿宋" w:hAnsi="仿宋" w:eastAsia="仿宋"/>
          <w:sz w:val="32"/>
        </w:rPr>
        <w:t>”</w:t>
      </w:r>
      <w:r>
        <w:rPr>
          <w:rFonts w:hint="eastAsia" w:ascii="仿宋" w:hAnsi="仿宋" w:eastAsia="仿宋"/>
          <w:sz w:val="32"/>
        </w:rPr>
        <w:t>。项目全年预算数为114万元，执行数为105.96万元，完成预算的92.95%。项目绩效目标完成情况：“就业见习补贴”项目实施后，提升就业创业服务能力，给予失业青年和刚毕业未就业学生一个基本生活保障，缓解就业压力。2020年度新增推荐162名见习生上岗，期末在岗见习177人。发现的问题及原因：因申领补贴人数略少于预算人数，故导致批复资金与实际支出资金不符。下一步改进措施：进一步提高预算绩效管理工作的主动性、积极性，完善项目预算编制。</w:t>
      </w:r>
    </w:p>
    <w:tbl>
      <w:tblPr>
        <w:tblStyle w:val="7"/>
        <w:tblW w:w="8965" w:type="dxa"/>
        <w:tblInd w:w="-76" w:type="dxa"/>
        <w:tblLayout w:type="fixed"/>
        <w:tblCellMar>
          <w:top w:w="0" w:type="dxa"/>
          <w:left w:w="0" w:type="dxa"/>
          <w:bottom w:w="0" w:type="dxa"/>
          <w:right w:w="0" w:type="dxa"/>
        </w:tblCellMar>
      </w:tblPr>
      <w:tblGrid>
        <w:gridCol w:w="458"/>
        <w:gridCol w:w="492"/>
        <w:gridCol w:w="885"/>
        <w:gridCol w:w="108"/>
        <w:gridCol w:w="1125"/>
        <w:gridCol w:w="345"/>
        <w:gridCol w:w="1461"/>
        <w:gridCol w:w="1224"/>
        <w:gridCol w:w="252"/>
        <w:gridCol w:w="543"/>
        <w:gridCol w:w="765"/>
        <w:gridCol w:w="300"/>
        <w:gridCol w:w="1007"/>
      </w:tblGrid>
      <w:tr>
        <w:tblPrEx>
          <w:tblCellMar>
            <w:top w:w="0" w:type="dxa"/>
            <w:left w:w="0" w:type="dxa"/>
            <w:bottom w:w="0" w:type="dxa"/>
            <w:right w:w="0" w:type="dxa"/>
          </w:tblCellMar>
        </w:tblPrEx>
        <w:trPr>
          <w:trHeight w:val="450" w:hRule="atLeast"/>
        </w:trPr>
        <w:tc>
          <w:tcPr>
            <w:tcW w:w="8965" w:type="dxa"/>
            <w:gridSpan w:val="13"/>
            <w:tcBorders>
              <w:top w:val="nil"/>
              <w:left w:val="nil"/>
              <w:bottom w:val="nil"/>
              <w:right w:val="nil"/>
            </w:tcBorders>
            <w:shd w:val="clear" w:color="auto" w:fill="FFFFFF"/>
            <w:noWrap/>
            <w:tcMar>
              <w:top w:w="0" w:type="dxa"/>
              <w:left w:w="105" w:type="dxa"/>
              <w:bottom w:w="0" w:type="dxa"/>
              <w:right w:w="105" w:type="dxa"/>
            </w:tcMar>
            <w:vAlign w:val="center"/>
          </w:tcPr>
          <w:p>
            <w:pPr>
              <w:wordWrap w:val="0"/>
              <w:spacing w:line="315" w:lineRule="atLeast"/>
              <w:jc w:val="center"/>
              <w:rPr>
                <w:rFonts w:ascii="微软雅黑" w:hAnsi="微软雅黑" w:eastAsia="微软雅黑" w:cs="宋体"/>
                <w:spacing w:val="7"/>
                <w:kern w:val="0"/>
                <w:sz w:val="28"/>
                <w:szCs w:val="28"/>
              </w:rPr>
            </w:pPr>
            <w:r>
              <w:rPr>
                <w:rFonts w:hint="eastAsia" w:ascii="方正小标宋简体" w:hAnsi="方正小标宋简体" w:eastAsia="方正小标宋简体" w:cs="方正小标宋简体"/>
                <w:spacing w:val="7"/>
                <w:sz w:val="44"/>
                <w:szCs w:val="44"/>
              </w:rPr>
              <w:t>景宁县项目支出绩效自评表</w:t>
            </w:r>
          </w:p>
        </w:tc>
      </w:tr>
      <w:tr>
        <w:tblPrEx>
          <w:tblCellMar>
            <w:top w:w="0" w:type="dxa"/>
            <w:left w:w="0" w:type="dxa"/>
            <w:bottom w:w="0" w:type="dxa"/>
            <w:right w:w="0" w:type="dxa"/>
          </w:tblCellMar>
        </w:tblPrEx>
        <w:trPr>
          <w:trHeight w:val="195" w:hRule="atLeast"/>
        </w:trPr>
        <w:tc>
          <w:tcPr>
            <w:tcW w:w="8965" w:type="dxa"/>
            <w:gridSpan w:val="13"/>
            <w:tcBorders>
              <w:top w:val="nil"/>
              <w:left w:val="nil"/>
              <w:bottom w:val="nil"/>
              <w:right w:val="nil"/>
            </w:tcBorders>
            <w:shd w:val="clear" w:color="auto" w:fill="FFFFFF"/>
            <w:noWrap/>
            <w:tcMar>
              <w:top w:w="0" w:type="dxa"/>
              <w:left w:w="105" w:type="dxa"/>
              <w:bottom w:w="0" w:type="dxa"/>
              <w:right w:w="105" w:type="dxa"/>
            </w:tcMar>
          </w:tcPr>
          <w:p>
            <w:pPr>
              <w:wordWrap w:val="0"/>
              <w:spacing w:line="195" w:lineRule="atLeast"/>
              <w:jc w:val="center"/>
              <w:rPr>
                <w:rFonts w:ascii="宋体" w:hAnsi="宋体" w:cs="宋体"/>
                <w:spacing w:val="7"/>
                <w:sz w:val="18"/>
                <w:szCs w:val="18"/>
              </w:rPr>
            </w:pPr>
            <w:r>
              <w:rPr>
                <w:rFonts w:hint="eastAsia" w:ascii="宋体" w:hAnsi="宋体" w:cs="宋体"/>
                <w:spacing w:val="7"/>
                <w:sz w:val="18"/>
                <w:szCs w:val="18"/>
              </w:rPr>
              <w:t>（2020年度）</w:t>
            </w:r>
          </w:p>
          <w:p>
            <w:pPr>
              <w:wordWrap w:val="0"/>
              <w:spacing w:line="195" w:lineRule="atLeast"/>
              <w:jc w:val="center"/>
              <w:rPr>
                <w:rFonts w:ascii="宋体" w:hAnsi="宋体" w:cs="宋体"/>
                <w:spacing w:val="7"/>
                <w:kern w:val="0"/>
                <w:sz w:val="18"/>
                <w:szCs w:val="18"/>
              </w:rPr>
            </w:pPr>
          </w:p>
        </w:tc>
      </w:tr>
      <w:tr>
        <w:tblPrEx>
          <w:tblCellMar>
            <w:top w:w="0" w:type="dxa"/>
            <w:left w:w="0" w:type="dxa"/>
            <w:bottom w:w="0" w:type="dxa"/>
            <w:right w:w="0" w:type="dxa"/>
          </w:tblCellMar>
        </w:tblPrEx>
        <w:trPr>
          <w:trHeight w:val="300" w:hRule="atLeast"/>
        </w:trPr>
        <w:tc>
          <w:tcPr>
            <w:tcW w:w="950" w:type="dxa"/>
            <w:gridSpan w:val="2"/>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项目名称</w:t>
            </w:r>
          </w:p>
        </w:tc>
        <w:tc>
          <w:tcPr>
            <w:tcW w:w="8015" w:type="dxa"/>
            <w:gridSpan w:val="11"/>
            <w:tcBorders>
              <w:top w:val="single" w:color="auto" w:sz="6" w:space="0"/>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eastAsia="仿宋_GB2312"/>
                <w:sz w:val="28"/>
                <w:szCs w:val="28"/>
              </w:rPr>
              <w:t>就业见习补贴</w:t>
            </w:r>
          </w:p>
        </w:tc>
      </w:tr>
      <w:tr>
        <w:tblPrEx>
          <w:tblCellMar>
            <w:top w:w="0" w:type="dxa"/>
            <w:left w:w="0" w:type="dxa"/>
            <w:bottom w:w="0" w:type="dxa"/>
            <w:right w:w="0" w:type="dxa"/>
          </w:tblCellMar>
        </w:tblPrEx>
        <w:trPr>
          <w:trHeight w:val="300" w:hRule="atLeast"/>
        </w:trPr>
        <w:tc>
          <w:tcPr>
            <w:tcW w:w="950" w:type="dxa"/>
            <w:gridSpan w:val="2"/>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主管部门</w:t>
            </w:r>
          </w:p>
        </w:tc>
        <w:tc>
          <w:tcPr>
            <w:tcW w:w="3924"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315"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景宁畲族自治县人力资源和社会保障局</w:t>
            </w:r>
          </w:p>
        </w:tc>
        <w:tc>
          <w:tcPr>
            <w:tcW w:w="1476"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实施单位</w:t>
            </w:r>
          </w:p>
        </w:tc>
        <w:tc>
          <w:tcPr>
            <w:tcW w:w="2615" w:type="dxa"/>
            <w:gridSpan w:val="4"/>
            <w:tcBorders>
              <w:top w:val="single" w:color="auto" w:sz="6" w:space="0"/>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景宁县就业管理服务处</w:t>
            </w:r>
          </w:p>
        </w:tc>
      </w:tr>
      <w:tr>
        <w:tblPrEx>
          <w:tblCellMar>
            <w:top w:w="0" w:type="dxa"/>
            <w:left w:w="0" w:type="dxa"/>
            <w:bottom w:w="0" w:type="dxa"/>
            <w:right w:w="0" w:type="dxa"/>
          </w:tblCellMar>
        </w:tblPrEx>
        <w:trPr>
          <w:trHeight w:val="495" w:hRule="atLeast"/>
        </w:trPr>
        <w:tc>
          <w:tcPr>
            <w:tcW w:w="950" w:type="dxa"/>
            <w:gridSpan w:val="2"/>
            <w:vMerge w:val="restart"/>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项目资金（万元）</w:t>
            </w:r>
          </w:p>
        </w:tc>
        <w:tc>
          <w:tcPr>
            <w:tcW w:w="2463"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1461"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年初预算数</w:t>
            </w:r>
          </w:p>
        </w:tc>
        <w:tc>
          <w:tcPr>
            <w:tcW w:w="1476"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全年预算数</w:t>
            </w:r>
          </w:p>
        </w:tc>
        <w:tc>
          <w:tcPr>
            <w:tcW w:w="1608" w:type="dxa"/>
            <w:gridSpan w:val="3"/>
            <w:tcBorders>
              <w:top w:val="single" w:color="auto" w:sz="6" w:space="0"/>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全年执行数</w:t>
            </w:r>
          </w:p>
        </w:tc>
        <w:tc>
          <w:tcPr>
            <w:tcW w:w="1007"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执行率</w:t>
            </w: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2463"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年度资金总额</w:t>
            </w:r>
          </w:p>
        </w:tc>
        <w:tc>
          <w:tcPr>
            <w:tcW w:w="1461"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114.00</w:t>
            </w:r>
          </w:p>
        </w:tc>
        <w:tc>
          <w:tcPr>
            <w:tcW w:w="1476"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114.00</w:t>
            </w:r>
          </w:p>
        </w:tc>
        <w:tc>
          <w:tcPr>
            <w:tcW w:w="1608" w:type="dxa"/>
            <w:gridSpan w:val="3"/>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105.96</w:t>
            </w:r>
          </w:p>
        </w:tc>
        <w:tc>
          <w:tcPr>
            <w:tcW w:w="1007"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92.95</w:t>
            </w:r>
            <w:r>
              <w:rPr>
                <w:rFonts w:ascii="仿宋_GB2312" w:hAnsi="仿宋_GB2312" w:eastAsia="仿宋_GB2312" w:cs="仿宋_GB2312"/>
                <w:spacing w:val="7"/>
                <w:sz w:val="24"/>
                <w:szCs w:val="24"/>
              </w:rPr>
              <w:t>%</w:t>
            </w:r>
          </w:p>
        </w:tc>
      </w:tr>
      <w:tr>
        <w:tblPrEx>
          <w:tblCellMar>
            <w:top w:w="0" w:type="dxa"/>
            <w:left w:w="0" w:type="dxa"/>
            <w:bottom w:w="0" w:type="dxa"/>
            <w:right w:w="0" w:type="dxa"/>
          </w:tblCellMar>
        </w:tblPrEx>
        <w:trPr>
          <w:trHeight w:val="315"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2463"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其中：当年财政拨款</w:t>
            </w:r>
          </w:p>
        </w:tc>
        <w:tc>
          <w:tcPr>
            <w:tcW w:w="1461"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114.00</w:t>
            </w:r>
          </w:p>
        </w:tc>
        <w:tc>
          <w:tcPr>
            <w:tcW w:w="1476"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114.00</w:t>
            </w:r>
          </w:p>
        </w:tc>
        <w:tc>
          <w:tcPr>
            <w:tcW w:w="1608" w:type="dxa"/>
            <w:gridSpan w:val="3"/>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105.96</w:t>
            </w:r>
          </w:p>
        </w:tc>
        <w:tc>
          <w:tcPr>
            <w:tcW w:w="1007"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92.95</w:t>
            </w:r>
            <w:r>
              <w:rPr>
                <w:rFonts w:ascii="仿宋_GB2312" w:hAnsi="仿宋_GB2312" w:eastAsia="仿宋_GB2312" w:cs="仿宋_GB2312"/>
                <w:spacing w:val="7"/>
                <w:sz w:val="24"/>
                <w:szCs w:val="24"/>
              </w:rPr>
              <w:t>%</w:t>
            </w: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2463"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      上年结转资金</w:t>
            </w:r>
          </w:p>
        </w:tc>
        <w:tc>
          <w:tcPr>
            <w:tcW w:w="1461"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1476"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1608" w:type="dxa"/>
            <w:gridSpan w:val="3"/>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1007"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2463"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  其他资金</w:t>
            </w:r>
          </w:p>
        </w:tc>
        <w:tc>
          <w:tcPr>
            <w:tcW w:w="1461"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1476"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1608" w:type="dxa"/>
            <w:gridSpan w:val="3"/>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1007"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96" w:hRule="atLeast"/>
        </w:trPr>
        <w:tc>
          <w:tcPr>
            <w:tcW w:w="950" w:type="dxa"/>
            <w:gridSpan w:val="2"/>
            <w:vMerge w:val="restart"/>
            <w:tcBorders>
              <w:top w:val="nil"/>
              <w:left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年度总体目标</w:t>
            </w:r>
          </w:p>
        </w:tc>
        <w:tc>
          <w:tcPr>
            <w:tcW w:w="3924"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预期目标</w:t>
            </w:r>
          </w:p>
        </w:tc>
        <w:tc>
          <w:tcPr>
            <w:tcW w:w="4091" w:type="dxa"/>
            <w:gridSpan w:val="6"/>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实际完成情况</w:t>
            </w:r>
          </w:p>
        </w:tc>
      </w:tr>
      <w:tr>
        <w:tblPrEx>
          <w:tblCellMar>
            <w:top w:w="0" w:type="dxa"/>
            <w:left w:w="0" w:type="dxa"/>
            <w:bottom w:w="0" w:type="dxa"/>
            <w:right w:w="0" w:type="dxa"/>
          </w:tblCellMar>
        </w:tblPrEx>
        <w:trPr>
          <w:trHeight w:val="894"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3924"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114.00万元</w:t>
            </w:r>
          </w:p>
        </w:tc>
        <w:tc>
          <w:tcPr>
            <w:tcW w:w="4091" w:type="dxa"/>
            <w:gridSpan w:val="6"/>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105.96万元</w:t>
            </w:r>
          </w:p>
        </w:tc>
      </w:tr>
      <w:tr>
        <w:tblPrEx>
          <w:tblCellMar>
            <w:top w:w="0" w:type="dxa"/>
            <w:left w:w="0" w:type="dxa"/>
            <w:bottom w:w="0" w:type="dxa"/>
            <w:right w:w="0" w:type="dxa"/>
          </w:tblCellMar>
        </w:tblPrEx>
        <w:trPr>
          <w:trHeight w:val="540" w:hRule="atLeast"/>
        </w:trPr>
        <w:tc>
          <w:tcPr>
            <w:tcW w:w="458" w:type="dxa"/>
            <w:vMerge w:val="restart"/>
            <w:tcBorders>
              <w:top w:val="nil"/>
              <w:left w:val="single" w:color="auto" w:sz="6" w:space="0"/>
              <w:bottom w:val="nil"/>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绩效指标</w:t>
            </w:r>
          </w:p>
        </w:tc>
        <w:tc>
          <w:tcPr>
            <w:tcW w:w="492" w:type="dxa"/>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一级指标</w:t>
            </w:r>
          </w:p>
        </w:tc>
        <w:tc>
          <w:tcPr>
            <w:tcW w:w="993" w:type="dxa"/>
            <w:gridSpan w:val="2"/>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二级指标</w:t>
            </w:r>
          </w:p>
        </w:tc>
        <w:tc>
          <w:tcPr>
            <w:tcW w:w="1125" w:type="dxa"/>
            <w:tcBorders>
              <w:top w:val="single" w:color="auto" w:sz="6" w:space="0"/>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三级指标</w:t>
            </w:r>
          </w:p>
        </w:tc>
        <w:tc>
          <w:tcPr>
            <w:tcW w:w="1806" w:type="dxa"/>
            <w:gridSpan w:val="2"/>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年度</w:t>
            </w:r>
          </w:p>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指标值</w:t>
            </w:r>
          </w:p>
        </w:tc>
        <w:tc>
          <w:tcPr>
            <w:tcW w:w="1224" w:type="dxa"/>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实际</w:t>
            </w:r>
          </w:p>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完成值</w:t>
            </w:r>
          </w:p>
        </w:tc>
        <w:tc>
          <w:tcPr>
            <w:tcW w:w="795" w:type="dxa"/>
            <w:gridSpan w:val="2"/>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权重</w:t>
            </w:r>
          </w:p>
        </w:tc>
        <w:tc>
          <w:tcPr>
            <w:tcW w:w="765" w:type="dxa"/>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得分</w:t>
            </w:r>
          </w:p>
        </w:tc>
        <w:tc>
          <w:tcPr>
            <w:tcW w:w="1307" w:type="dxa"/>
            <w:gridSpan w:val="2"/>
            <w:tcBorders>
              <w:top w:val="single" w:color="auto" w:sz="6" w:space="0"/>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偏差原因分析及改进措施</w:t>
            </w: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92"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产出指标</w:t>
            </w: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数量</w:t>
            </w:r>
          </w:p>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新增见习生</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162名</w:t>
            </w:r>
          </w:p>
        </w:tc>
        <w:tc>
          <w:tcPr>
            <w:tcW w:w="122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162名</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20</w:t>
            </w:r>
          </w:p>
        </w:tc>
        <w:tc>
          <w:tcPr>
            <w:tcW w:w="76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20</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质量</w:t>
            </w:r>
          </w:p>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此项不涉及</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时效</w:t>
            </w:r>
          </w:p>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经费按时拨付率</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100%</w:t>
            </w:r>
          </w:p>
        </w:tc>
        <w:tc>
          <w:tcPr>
            <w:tcW w:w="122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100%</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10</w:t>
            </w:r>
          </w:p>
        </w:tc>
        <w:tc>
          <w:tcPr>
            <w:tcW w:w="76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10</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成本</w:t>
            </w:r>
          </w:p>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项目成本控制在预算内</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114.00万元</w:t>
            </w:r>
          </w:p>
        </w:tc>
        <w:tc>
          <w:tcPr>
            <w:tcW w:w="122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105.96万元</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20</w:t>
            </w:r>
          </w:p>
        </w:tc>
        <w:tc>
          <w:tcPr>
            <w:tcW w:w="76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17</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92" w:type="dxa"/>
            <w:vMerge w:val="restart"/>
            <w:tcBorders>
              <w:top w:val="single" w:color="auto" w:sz="4" w:space="0"/>
              <w:left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效益指标</w:t>
            </w: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经济效益指标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此项不涉及</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92"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社会效益指标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保障就业稳定</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保障就业稳定</w:t>
            </w:r>
          </w:p>
        </w:tc>
        <w:tc>
          <w:tcPr>
            <w:tcW w:w="122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保障就业稳定</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20</w:t>
            </w:r>
          </w:p>
        </w:tc>
        <w:tc>
          <w:tcPr>
            <w:tcW w:w="76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16</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92"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生态效益指标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此项不涉及</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516" w:hRule="atLeast"/>
        </w:trPr>
        <w:tc>
          <w:tcPr>
            <w:tcW w:w="458" w:type="dxa"/>
            <w:vMerge w:val="restart"/>
            <w:tcBorders>
              <w:top w:val="nil"/>
              <w:left w:val="single" w:color="auto" w:sz="6"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92"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可持续影响指标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此项不涉及</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486"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92"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满意度</w:t>
            </w:r>
          </w:p>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指标</w:t>
            </w: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服务对象满意度指标</w:t>
            </w:r>
          </w:p>
        </w:tc>
        <w:tc>
          <w:tcPr>
            <w:tcW w:w="112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服务对象满意度</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sz w:val="24"/>
                <w:szCs w:val="24"/>
              </w:rPr>
              <w:t>≥100.00%</w:t>
            </w:r>
          </w:p>
        </w:tc>
        <w:tc>
          <w:tcPr>
            <w:tcW w:w="1224"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30</w:t>
            </w:r>
          </w:p>
        </w:tc>
        <w:tc>
          <w:tcPr>
            <w:tcW w:w="76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26</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541" w:hRule="atLeast"/>
        </w:trPr>
        <w:tc>
          <w:tcPr>
            <w:tcW w:w="6098" w:type="dxa"/>
            <w:gridSpan w:val="8"/>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总分</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100</w:t>
            </w:r>
          </w:p>
        </w:tc>
        <w:tc>
          <w:tcPr>
            <w:tcW w:w="76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89</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p>
        </w:tc>
      </w:tr>
      <w:tr>
        <w:tblPrEx>
          <w:tblCellMar>
            <w:top w:w="0" w:type="dxa"/>
            <w:left w:w="0" w:type="dxa"/>
            <w:bottom w:w="0" w:type="dxa"/>
            <w:right w:w="0" w:type="dxa"/>
          </w:tblCellMar>
        </w:tblPrEx>
        <w:trPr>
          <w:trHeight w:val="300" w:hRule="atLeast"/>
        </w:trPr>
        <w:tc>
          <w:tcPr>
            <w:tcW w:w="1835"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spacing w:val="7"/>
                <w:kern w:val="0"/>
                <w:sz w:val="24"/>
                <w:szCs w:val="24"/>
              </w:rPr>
              <w:t>自评结论</w:t>
            </w:r>
          </w:p>
        </w:tc>
        <w:tc>
          <w:tcPr>
            <w:tcW w:w="4263" w:type="dxa"/>
            <w:gridSpan w:val="5"/>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szCs w:val="24"/>
              </w:rPr>
            </w:pPr>
            <w:r>
              <w:rPr>
                <w:rFonts w:hint="eastAsia" w:ascii="仿宋_GB2312" w:hAnsi="仿宋_GB2312" w:eastAsia="仿宋_GB2312" w:cs="仿宋_GB2312"/>
                <w:kern w:val="0"/>
                <w:sz w:val="24"/>
                <w:szCs w:val="24"/>
              </w:rPr>
              <w:t>优□      良</w:t>
            </w:r>
            <w:r>
              <w:rPr>
                <w:rFonts w:hint="eastAsia" w:ascii="仿宋_GB2312" w:hAnsi="仿宋_GB2312" w:eastAsia="仿宋_GB2312" w:cs="仿宋_GB2312"/>
                <w:kern w:val="0"/>
                <w:sz w:val="24"/>
                <w:szCs w:val="24"/>
              </w:rPr>
              <w:sym w:font="Wingdings 2" w:char="0052"/>
            </w:r>
            <w:r>
              <w:rPr>
                <w:rFonts w:hint="eastAsia" w:ascii="仿宋_GB2312" w:hAnsi="仿宋_GB2312" w:eastAsia="仿宋_GB2312" w:cs="仿宋_GB2312"/>
                <w:kern w:val="0"/>
                <w:sz w:val="24"/>
                <w:szCs w:val="24"/>
              </w:rPr>
              <w:t xml:space="preserve">      中□    差□</w:t>
            </w:r>
          </w:p>
        </w:tc>
        <w:tc>
          <w:tcPr>
            <w:tcW w:w="2867" w:type="dxa"/>
            <w:gridSpan w:val="5"/>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24"/>
                <w:szCs w:val="24"/>
              </w:rPr>
            </w:pPr>
            <w:r>
              <w:rPr>
                <w:rFonts w:hint="eastAsia" w:ascii="仿宋_GB2312" w:hAnsi="仿宋_GB2312" w:eastAsia="仿宋_GB2312" w:cs="仿宋_GB2312"/>
                <w:kern w:val="0"/>
                <w:sz w:val="24"/>
                <w:szCs w:val="24"/>
              </w:rPr>
              <w:t>总分高于90分（含）的结论为“优”，90～80分（含）为“良”，80～60分（含）为“中”，低于60分为“差”。</w:t>
            </w:r>
          </w:p>
        </w:tc>
      </w:tr>
    </w:tbl>
    <w:p>
      <w:pPr>
        <w:pStyle w:val="2"/>
        <w:rPr>
          <w:rFonts w:hint="default"/>
          <w:color w:val="auto"/>
        </w:rPr>
      </w:pPr>
    </w:p>
    <w:p>
      <w:pPr>
        <w:spacing w:line="324" w:lineRule="auto"/>
        <w:ind w:firstLine="594"/>
        <w:rPr>
          <w:rFonts w:ascii="仿宋" w:hAnsi="仿宋" w:eastAsia="仿宋"/>
          <w:b/>
          <w:sz w:val="32"/>
        </w:rPr>
      </w:pPr>
      <w:r>
        <w:rPr>
          <w:rFonts w:hint="eastAsia" w:ascii="仿宋" w:hAnsi="仿宋" w:eastAsia="仿宋"/>
          <w:b/>
          <w:sz w:val="32"/>
        </w:rPr>
        <w:t>3.财政评价项目绩效评价结果：无。</w:t>
      </w:r>
    </w:p>
    <w:p>
      <w:pPr>
        <w:spacing w:line="324" w:lineRule="auto"/>
        <w:ind w:firstLine="594"/>
        <w:rPr>
          <w:rFonts w:ascii="仿宋" w:hAnsi="仿宋" w:eastAsia="仿宋"/>
          <w:b/>
          <w:sz w:val="32"/>
        </w:rPr>
      </w:pPr>
      <w:r>
        <w:rPr>
          <w:rFonts w:hint="eastAsia" w:ascii="仿宋" w:hAnsi="仿宋" w:eastAsia="仿宋"/>
          <w:b/>
          <w:sz w:val="32"/>
        </w:rPr>
        <w:t>4.部门评价项目绩效评价结果：无。</w:t>
      </w:r>
    </w:p>
    <w:p>
      <w:pPr>
        <w:spacing w:line="324" w:lineRule="auto"/>
        <w:ind w:firstLine="600"/>
        <w:outlineLvl w:val="0"/>
        <w:rPr>
          <w:rFonts w:eastAsia="Times New Roman"/>
          <w:b/>
          <w:sz w:val="32"/>
        </w:rPr>
      </w:pPr>
      <w:bookmarkStart w:id="37" w:name="_Toc1368_WPSOffice_Level1"/>
      <w:r>
        <w:rPr>
          <w:rFonts w:hint="eastAsia" w:ascii="黑体" w:hAnsi="黑体" w:eastAsia="黑体"/>
          <w:b/>
          <w:sz w:val="32"/>
        </w:rPr>
        <w:t>四、名词解释</w:t>
      </w:r>
      <w:bookmarkEnd w:id="37"/>
    </w:p>
    <w:p>
      <w:pPr>
        <w:spacing w:line="324" w:lineRule="auto"/>
        <w:ind w:firstLine="594"/>
        <w:rPr>
          <w:rFonts w:ascii="仿宋" w:hAnsi="仿宋" w:eastAsia="仿宋"/>
          <w:sz w:val="32"/>
          <w:lang w:val="zh-CN"/>
        </w:rPr>
      </w:pPr>
      <w:r>
        <w:rPr>
          <w:rFonts w:hint="eastAsia" w:ascii="仿宋" w:hAnsi="仿宋" w:eastAsia="仿宋"/>
          <w:sz w:val="32"/>
          <w:lang w:val="zh-CN"/>
        </w:rPr>
        <w:t>1.财政拨款收入：指本级财政部门当年拨付的财政预算资金，包括一般公共预算财政拨款、政府性基金预算财政拨款和国有资本经预算财政拨款。</w:t>
      </w:r>
    </w:p>
    <w:p>
      <w:pPr>
        <w:spacing w:line="324" w:lineRule="auto"/>
        <w:ind w:firstLine="594"/>
        <w:rPr>
          <w:rFonts w:ascii="仿宋" w:hAnsi="仿宋" w:eastAsia="仿宋"/>
          <w:sz w:val="32"/>
        </w:rPr>
      </w:pPr>
      <w:r>
        <w:rPr>
          <w:rFonts w:hint="eastAsia" w:ascii="仿宋" w:hAnsi="仿宋" w:eastAsia="仿宋"/>
          <w:sz w:val="32"/>
          <w:lang w:val="zh-CN"/>
        </w:rPr>
        <w:t>2.事业收入：指事业单位开展专业业务活动及辅助活动所取得的收入。</w:t>
      </w:r>
    </w:p>
    <w:p>
      <w:pPr>
        <w:spacing w:line="324" w:lineRule="auto"/>
        <w:ind w:firstLine="594"/>
        <w:rPr>
          <w:rFonts w:ascii="仿宋" w:hAnsi="仿宋" w:eastAsia="仿宋"/>
          <w:sz w:val="32"/>
        </w:rPr>
      </w:pPr>
      <w:r>
        <w:rPr>
          <w:rFonts w:hint="eastAsia" w:ascii="仿宋" w:hAnsi="仿宋" w:eastAsia="仿宋"/>
          <w:sz w:val="32"/>
        </w:rPr>
        <w:t>3.经营收入：指事业单位在专业业务活动及辅助活动之外开展非独立核算经营活动取得的收入。</w:t>
      </w:r>
    </w:p>
    <w:p>
      <w:pPr>
        <w:spacing w:line="324" w:lineRule="auto"/>
        <w:ind w:firstLine="594"/>
        <w:rPr>
          <w:rFonts w:ascii="仿宋" w:hAnsi="仿宋" w:eastAsia="仿宋"/>
          <w:sz w:val="32"/>
        </w:rPr>
      </w:pPr>
      <w:r>
        <w:rPr>
          <w:rFonts w:hint="eastAsia" w:ascii="仿宋" w:hAnsi="仿宋" w:eastAsia="仿宋"/>
          <w:sz w:val="32"/>
        </w:rPr>
        <w:t>4.上级补助收入：指事业单位从主管部门和上级单位取得的非财政补助收入。</w:t>
      </w:r>
    </w:p>
    <w:p>
      <w:pPr>
        <w:spacing w:line="324" w:lineRule="auto"/>
        <w:ind w:firstLine="594"/>
        <w:rPr>
          <w:rFonts w:ascii="仿宋" w:hAnsi="仿宋" w:eastAsia="仿宋"/>
          <w:sz w:val="32"/>
        </w:rPr>
      </w:pPr>
      <w:r>
        <w:rPr>
          <w:rFonts w:hint="eastAsia" w:ascii="仿宋" w:hAnsi="仿宋" w:eastAsia="仿宋"/>
          <w:sz w:val="32"/>
        </w:rPr>
        <w:t>5.附属单位上缴收入：指事业单位附属独立核算单位按照有关规定上缴的收入。</w:t>
      </w:r>
    </w:p>
    <w:p>
      <w:pPr>
        <w:spacing w:line="324" w:lineRule="auto"/>
        <w:ind w:firstLine="594"/>
        <w:rPr>
          <w:rFonts w:ascii="仿宋" w:hAnsi="仿宋" w:eastAsia="仿宋"/>
          <w:sz w:val="32"/>
        </w:rPr>
      </w:pPr>
      <w:r>
        <w:rPr>
          <w:rFonts w:hint="eastAsia" w:ascii="仿宋" w:hAnsi="仿宋" w:eastAsia="仿宋"/>
          <w:sz w:val="32"/>
        </w:rPr>
        <w:t>6.其他收入：指预算单位在</w:t>
      </w:r>
      <w:r>
        <w:rPr>
          <w:rFonts w:ascii="仿宋" w:hAnsi="仿宋" w:eastAsia="仿宋"/>
          <w:sz w:val="32"/>
        </w:rPr>
        <w:t>“</w:t>
      </w:r>
      <w:r>
        <w:rPr>
          <w:rFonts w:hint="eastAsia" w:ascii="仿宋" w:hAnsi="仿宋" w:eastAsia="仿宋"/>
          <w:sz w:val="32"/>
        </w:rPr>
        <w:t>财政拨款</w:t>
      </w:r>
      <w:r>
        <w:rPr>
          <w:rFonts w:ascii="仿宋" w:hAnsi="仿宋" w:eastAsia="仿宋"/>
          <w:sz w:val="32"/>
        </w:rPr>
        <w:t>”</w:t>
      </w:r>
      <w:r>
        <w:rPr>
          <w:rFonts w:hint="eastAsia" w:ascii="仿宋" w:hAnsi="仿宋" w:eastAsia="仿宋"/>
          <w:sz w:val="32"/>
        </w:rPr>
        <w:t>、</w:t>
      </w:r>
      <w:r>
        <w:rPr>
          <w:rFonts w:ascii="仿宋" w:hAnsi="仿宋" w:eastAsia="仿宋"/>
          <w:sz w:val="32"/>
        </w:rPr>
        <w:t>“</w:t>
      </w:r>
      <w:r>
        <w:rPr>
          <w:rFonts w:hint="eastAsia" w:ascii="仿宋" w:hAnsi="仿宋" w:eastAsia="仿宋"/>
          <w:sz w:val="32"/>
        </w:rPr>
        <w:t>事业收入</w:t>
      </w:r>
      <w:r>
        <w:rPr>
          <w:rFonts w:ascii="仿宋" w:hAnsi="仿宋" w:eastAsia="仿宋"/>
          <w:sz w:val="32"/>
        </w:rPr>
        <w:t>”</w:t>
      </w:r>
      <w:r>
        <w:rPr>
          <w:rFonts w:hint="eastAsia" w:ascii="仿宋" w:hAnsi="仿宋" w:eastAsia="仿宋"/>
          <w:sz w:val="32"/>
        </w:rPr>
        <w:t>、</w:t>
      </w:r>
      <w:r>
        <w:rPr>
          <w:rFonts w:ascii="仿宋" w:hAnsi="仿宋" w:eastAsia="仿宋"/>
          <w:sz w:val="32"/>
        </w:rPr>
        <w:t>“</w:t>
      </w:r>
      <w:r>
        <w:rPr>
          <w:rFonts w:hint="eastAsia" w:ascii="仿宋" w:hAnsi="仿宋" w:eastAsia="仿宋"/>
          <w:sz w:val="32"/>
        </w:rPr>
        <w:t>经营收入</w:t>
      </w:r>
      <w:r>
        <w:rPr>
          <w:rFonts w:ascii="仿宋" w:hAnsi="仿宋" w:eastAsia="仿宋"/>
          <w:sz w:val="32"/>
        </w:rPr>
        <w:t>”</w:t>
      </w:r>
      <w:r>
        <w:rPr>
          <w:rFonts w:hint="eastAsia" w:ascii="仿宋" w:hAnsi="仿宋" w:eastAsia="仿宋"/>
          <w:sz w:val="32"/>
        </w:rPr>
        <w:t>、</w:t>
      </w:r>
      <w:r>
        <w:rPr>
          <w:rFonts w:ascii="仿宋" w:hAnsi="仿宋" w:eastAsia="仿宋"/>
          <w:sz w:val="32"/>
        </w:rPr>
        <w:t>“</w:t>
      </w:r>
      <w:r>
        <w:rPr>
          <w:rFonts w:hint="eastAsia" w:ascii="仿宋" w:hAnsi="仿宋" w:eastAsia="仿宋"/>
          <w:sz w:val="32"/>
        </w:rPr>
        <w:t>上级补助收入</w:t>
      </w:r>
      <w:r>
        <w:rPr>
          <w:rFonts w:ascii="仿宋" w:hAnsi="仿宋" w:eastAsia="仿宋"/>
          <w:sz w:val="32"/>
        </w:rPr>
        <w:t>”</w:t>
      </w:r>
      <w:r>
        <w:rPr>
          <w:rFonts w:hint="eastAsia" w:ascii="仿宋" w:hAnsi="仿宋" w:eastAsia="仿宋"/>
          <w:sz w:val="32"/>
        </w:rPr>
        <w:t>、</w:t>
      </w:r>
      <w:r>
        <w:rPr>
          <w:rFonts w:ascii="仿宋" w:hAnsi="仿宋" w:eastAsia="仿宋"/>
          <w:sz w:val="32"/>
        </w:rPr>
        <w:t>“</w:t>
      </w:r>
      <w:r>
        <w:rPr>
          <w:rFonts w:hint="eastAsia" w:ascii="仿宋" w:hAnsi="仿宋" w:eastAsia="仿宋"/>
          <w:sz w:val="32"/>
        </w:rPr>
        <w:t>附属单位上缴收入</w:t>
      </w:r>
      <w:r>
        <w:rPr>
          <w:rFonts w:ascii="仿宋" w:hAnsi="仿宋" w:eastAsia="仿宋"/>
          <w:sz w:val="32"/>
        </w:rPr>
        <w:t>”</w:t>
      </w:r>
      <w:r>
        <w:rPr>
          <w:rFonts w:hint="eastAsia" w:ascii="仿宋" w:hAnsi="仿宋" w:eastAsia="仿宋"/>
          <w:sz w:val="32"/>
        </w:rPr>
        <w:t>等之外取得的各项收入。</w:t>
      </w:r>
    </w:p>
    <w:p>
      <w:pPr>
        <w:spacing w:line="324" w:lineRule="auto"/>
        <w:ind w:firstLine="594"/>
        <w:rPr>
          <w:rFonts w:ascii="仿宋" w:hAnsi="仿宋" w:eastAsia="仿宋"/>
          <w:sz w:val="32"/>
        </w:rPr>
      </w:pPr>
      <w:r>
        <w:rPr>
          <w:rFonts w:hint="eastAsia" w:ascii="仿宋" w:hAnsi="仿宋" w:eastAsia="仿宋"/>
          <w:sz w:val="32"/>
        </w:rPr>
        <w:t>7.使用非财政拨款结余：指事业单位使用以前年度积累的非财政拨款结余弥补当年收支差额的金额。</w:t>
      </w:r>
    </w:p>
    <w:p>
      <w:pPr>
        <w:spacing w:line="324" w:lineRule="auto"/>
        <w:ind w:firstLine="594"/>
        <w:rPr>
          <w:rFonts w:ascii="仿宋" w:hAnsi="仿宋" w:eastAsia="仿宋"/>
          <w:sz w:val="32"/>
        </w:rPr>
      </w:pPr>
      <w:r>
        <w:rPr>
          <w:rFonts w:hint="eastAsia" w:ascii="仿宋" w:hAnsi="仿宋" w:eastAsia="仿宋"/>
          <w:sz w:val="32"/>
        </w:rPr>
        <w:t>8.年初结转和结余：指预算单位以前年度尚未完成、结转到本年仍按原规定用途继续使用的资金。</w:t>
      </w:r>
    </w:p>
    <w:p>
      <w:pPr>
        <w:spacing w:line="324" w:lineRule="auto"/>
        <w:ind w:firstLine="594"/>
        <w:rPr>
          <w:rFonts w:ascii="仿宋" w:hAnsi="仿宋" w:eastAsia="仿宋"/>
          <w:sz w:val="32"/>
        </w:rPr>
      </w:pPr>
      <w:r>
        <w:rPr>
          <w:rFonts w:hint="eastAsia" w:ascii="仿宋" w:hAnsi="仿宋" w:eastAsia="仿宋"/>
          <w:sz w:val="32"/>
        </w:rPr>
        <w:t>9.年末结转和结余：指单位按有关规定结转到下年或以后年度继续使用的资金。</w:t>
      </w:r>
    </w:p>
    <w:p>
      <w:pPr>
        <w:spacing w:line="324" w:lineRule="auto"/>
        <w:ind w:firstLine="594"/>
        <w:rPr>
          <w:rFonts w:ascii="仿宋" w:hAnsi="仿宋" w:eastAsia="仿宋"/>
          <w:sz w:val="32"/>
        </w:rPr>
      </w:pPr>
      <w:r>
        <w:rPr>
          <w:rFonts w:hint="eastAsia" w:ascii="仿宋" w:hAnsi="仿宋" w:eastAsia="仿宋"/>
          <w:sz w:val="32"/>
        </w:rPr>
        <w:t>10.基本支出：指预算单位为保障其正常运转，完成日常工作任务所发生的支出，包括人员经费支出和日常公用经费支出。</w:t>
      </w:r>
    </w:p>
    <w:p>
      <w:pPr>
        <w:spacing w:line="324" w:lineRule="auto"/>
        <w:ind w:firstLine="594"/>
        <w:rPr>
          <w:rFonts w:ascii="仿宋" w:hAnsi="仿宋" w:eastAsia="仿宋"/>
          <w:sz w:val="32"/>
        </w:rPr>
      </w:pPr>
      <w:r>
        <w:rPr>
          <w:rFonts w:hint="eastAsia" w:ascii="仿宋" w:hAnsi="仿宋" w:eastAsia="仿宋"/>
          <w:sz w:val="32"/>
        </w:rPr>
        <w:t>11.项目支出：指预算单位为完成其特定的行政工作任务或事业发展目标所发生的支出。</w:t>
      </w:r>
    </w:p>
    <w:p>
      <w:pPr>
        <w:spacing w:line="324" w:lineRule="auto"/>
        <w:ind w:firstLine="594"/>
        <w:rPr>
          <w:rFonts w:ascii="仿宋" w:hAnsi="仿宋" w:eastAsia="仿宋"/>
          <w:sz w:val="32"/>
        </w:rPr>
      </w:pPr>
      <w:r>
        <w:rPr>
          <w:rFonts w:hint="eastAsia" w:ascii="仿宋" w:hAnsi="仿宋" w:eastAsia="仿宋"/>
          <w:sz w:val="32"/>
        </w:rPr>
        <w:t>12.上缴上级支出：填列事业单位按照财政部门和主管部门的规定上缴上级单位的支出。</w:t>
      </w:r>
    </w:p>
    <w:p>
      <w:pPr>
        <w:spacing w:line="324" w:lineRule="auto"/>
        <w:ind w:firstLine="594"/>
        <w:rPr>
          <w:rFonts w:ascii="仿宋" w:hAnsi="仿宋" w:eastAsia="仿宋"/>
          <w:sz w:val="32"/>
        </w:rPr>
      </w:pPr>
      <w:r>
        <w:rPr>
          <w:rFonts w:hint="eastAsia" w:ascii="仿宋" w:hAnsi="仿宋" w:eastAsia="仿宋"/>
          <w:sz w:val="32"/>
        </w:rPr>
        <w:t>13.经营支出：指事业单位在专业业务活动及其辅助活动之外开展非独立核算经营活动发生的支出。</w:t>
      </w:r>
    </w:p>
    <w:p>
      <w:pPr>
        <w:spacing w:line="324" w:lineRule="auto"/>
        <w:ind w:firstLine="594"/>
        <w:rPr>
          <w:rFonts w:ascii="仿宋" w:hAnsi="仿宋" w:eastAsia="仿宋"/>
          <w:sz w:val="32"/>
        </w:rPr>
      </w:pPr>
      <w:r>
        <w:rPr>
          <w:rFonts w:hint="eastAsia" w:ascii="仿宋" w:hAnsi="仿宋" w:eastAsia="仿宋"/>
          <w:sz w:val="32"/>
        </w:rPr>
        <w:t>14.附属单位补助支出：填列事业单位用财政补助收入之外的收入对附属单位补助发生的支出。</w:t>
      </w:r>
    </w:p>
    <w:p>
      <w:pPr>
        <w:spacing w:line="324" w:lineRule="auto"/>
        <w:ind w:firstLine="594"/>
        <w:rPr>
          <w:rFonts w:ascii="仿宋" w:hAnsi="仿宋" w:eastAsia="仿宋"/>
          <w:sz w:val="32"/>
        </w:rPr>
      </w:pPr>
      <w:r>
        <w:rPr>
          <w:rFonts w:hint="eastAsia" w:ascii="仿宋" w:hAnsi="仿宋" w:eastAsia="仿宋"/>
          <w:sz w:val="32"/>
        </w:rPr>
        <w:t>15.</w:t>
      </w:r>
      <w:r>
        <w:rPr>
          <w:rFonts w:ascii="仿宋" w:hAnsi="仿宋" w:eastAsia="仿宋"/>
          <w:sz w:val="32"/>
        </w:rPr>
        <w:t>“</w:t>
      </w:r>
      <w:r>
        <w:rPr>
          <w:rFonts w:hint="eastAsia" w:ascii="仿宋" w:hAnsi="仿宋" w:eastAsia="仿宋"/>
          <w:sz w:val="32"/>
        </w:rPr>
        <w:t>三公</w:t>
      </w:r>
      <w:r>
        <w:rPr>
          <w:rFonts w:ascii="仿宋" w:hAnsi="仿宋" w:eastAsia="仿宋"/>
          <w:sz w:val="32"/>
        </w:rPr>
        <w:t>”</w:t>
      </w:r>
      <w:r>
        <w:rPr>
          <w:rFonts w:hint="eastAsia" w:ascii="仿宋" w:hAnsi="仿宋" w:eastAsia="仿宋"/>
          <w:sz w:val="32"/>
        </w:rPr>
        <w:t>经费：纳入财政预决算管理的</w:t>
      </w:r>
      <w:r>
        <w:rPr>
          <w:rFonts w:ascii="仿宋" w:hAnsi="仿宋" w:eastAsia="仿宋"/>
          <w:sz w:val="32"/>
        </w:rPr>
        <w:t>“</w:t>
      </w:r>
      <w:r>
        <w:rPr>
          <w:rFonts w:hint="eastAsia" w:ascii="仿宋" w:hAnsi="仿宋" w:eastAsia="仿宋"/>
          <w:sz w:val="32"/>
        </w:rPr>
        <w:t>三公</w:t>
      </w:r>
      <w:r>
        <w:rPr>
          <w:rFonts w:ascii="仿宋" w:hAnsi="仿宋" w:eastAsia="仿宋"/>
          <w:sz w:val="32"/>
        </w:rPr>
        <w:t>”</w:t>
      </w:r>
      <w:r>
        <w:rPr>
          <w:rFonts w:hint="eastAsia" w:ascii="仿宋" w:hAnsi="仿宋" w:eastAsia="仿宋"/>
          <w:sz w:val="32"/>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324" w:lineRule="auto"/>
        <w:ind w:firstLine="594"/>
        <w:rPr>
          <w:rFonts w:ascii="仿宋" w:hAnsi="仿宋" w:eastAsia="仿宋"/>
          <w:sz w:val="32"/>
        </w:rPr>
      </w:pPr>
      <w:r>
        <w:rPr>
          <w:rFonts w:hint="eastAsia" w:ascii="仿宋" w:hAnsi="仿宋" w:eastAsia="仿宋"/>
          <w:sz w:val="32"/>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324" w:lineRule="auto"/>
        <w:ind w:firstLine="594"/>
        <w:rPr>
          <w:rFonts w:ascii="仿宋" w:hAnsi="仿宋" w:eastAsia="仿宋"/>
          <w:sz w:val="32"/>
          <w:szCs w:val="32"/>
        </w:rPr>
      </w:pPr>
      <w:r>
        <w:rPr>
          <w:rFonts w:hint="eastAsia" w:ascii="仿宋" w:hAnsi="仿宋" w:eastAsia="仿宋"/>
          <w:sz w:val="32"/>
        </w:rPr>
        <w:t>17.</w:t>
      </w:r>
      <w:r>
        <w:rPr>
          <w:rFonts w:hint="eastAsia" w:ascii="仿宋" w:hAnsi="仿宋" w:eastAsia="仿宋"/>
          <w:sz w:val="32"/>
          <w:szCs w:val="32"/>
        </w:rPr>
        <w:t>社会保障和就业支出（类）人力资源和社会保障管理事务（款）就业管理事务（项）：反映就业和职业技能鉴定管理方面的支出。</w:t>
      </w:r>
    </w:p>
    <w:p>
      <w:pPr>
        <w:spacing w:line="324" w:lineRule="auto"/>
        <w:ind w:firstLine="594"/>
        <w:rPr>
          <w:rFonts w:ascii="仿宋" w:hAnsi="仿宋" w:eastAsia="仿宋"/>
          <w:sz w:val="32"/>
          <w:szCs w:val="32"/>
        </w:rPr>
      </w:pPr>
      <w:r>
        <w:rPr>
          <w:rFonts w:hint="eastAsia" w:ascii="仿宋" w:hAnsi="仿宋" w:eastAsia="仿宋"/>
          <w:sz w:val="32"/>
          <w:szCs w:val="32"/>
        </w:rPr>
        <w:t>18.社会保障和就业支出（类）人力资源和社会保障管理事务（款）其他人力资源和社会保障事务支出（项）：指用于其他人力资源和社会保障管理事务方面的支出。</w:t>
      </w:r>
    </w:p>
    <w:p>
      <w:pPr>
        <w:spacing w:line="324" w:lineRule="auto"/>
        <w:ind w:firstLine="594"/>
        <w:rPr>
          <w:rFonts w:ascii="仿宋" w:hAnsi="仿宋" w:eastAsia="仿宋"/>
          <w:sz w:val="32"/>
          <w:szCs w:val="32"/>
        </w:rPr>
      </w:pPr>
      <w:r>
        <w:rPr>
          <w:rFonts w:hint="eastAsia" w:ascii="仿宋" w:hAnsi="仿宋" w:eastAsia="仿宋"/>
          <w:sz w:val="32"/>
          <w:szCs w:val="32"/>
        </w:rPr>
        <w:t>19.社会保障和就业支出（类）行政事业单位离退休（款）未归口管理的行政单位离退休（项）：指未实行归口管理的行政单位（包括实行公务员管理的事业单位）开支的离退休经费。</w:t>
      </w:r>
    </w:p>
    <w:p>
      <w:pPr>
        <w:spacing w:line="324" w:lineRule="auto"/>
        <w:ind w:firstLine="594"/>
        <w:rPr>
          <w:rFonts w:ascii="仿宋" w:hAnsi="仿宋" w:eastAsia="仿宋"/>
          <w:sz w:val="32"/>
          <w:szCs w:val="32"/>
        </w:rPr>
      </w:pPr>
      <w:r>
        <w:rPr>
          <w:rFonts w:hint="eastAsia" w:ascii="仿宋" w:hAnsi="仿宋" w:eastAsia="仿宋"/>
          <w:sz w:val="32"/>
          <w:szCs w:val="32"/>
        </w:rPr>
        <w:t>20.社会保障和就业支出（类）行政事业单位离退休（款）机关事业单位基本养老保险缴费支出（项）：指机关事业单位实施养老保险制度由单位缴纳的基本养老保险费支出。</w:t>
      </w:r>
    </w:p>
    <w:p>
      <w:pPr>
        <w:spacing w:line="324" w:lineRule="auto"/>
        <w:ind w:firstLine="594"/>
        <w:rPr>
          <w:rFonts w:ascii="仿宋" w:hAnsi="仿宋" w:eastAsia="仿宋"/>
          <w:sz w:val="32"/>
          <w:szCs w:val="32"/>
        </w:rPr>
      </w:pPr>
      <w:r>
        <w:rPr>
          <w:rFonts w:hint="eastAsia" w:ascii="仿宋" w:hAnsi="仿宋" w:eastAsia="仿宋"/>
          <w:sz w:val="32"/>
          <w:szCs w:val="32"/>
        </w:rPr>
        <w:t>21.社会保障和就业支出（类）行政事业单位离退休（款）机关事业单位职业年金缴费支出（项）：指机关事业单位实施养老保险制度由单位实际缴纳的职业年金支出。</w:t>
      </w:r>
    </w:p>
    <w:p>
      <w:pPr>
        <w:spacing w:line="324" w:lineRule="auto"/>
        <w:ind w:firstLine="594"/>
        <w:rPr>
          <w:rFonts w:ascii="仿宋" w:hAnsi="仿宋" w:eastAsia="仿宋"/>
          <w:sz w:val="32"/>
          <w:szCs w:val="32"/>
        </w:rPr>
      </w:pPr>
      <w:r>
        <w:rPr>
          <w:rFonts w:hint="eastAsia" w:ascii="仿宋" w:hAnsi="仿宋" w:eastAsia="仿宋"/>
          <w:sz w:val="32"/>
          <w:szCs w:val="32"/>
        </w:rPr>
        <w:t>22.社会保障和就业支出（类）就业补助（款）就业创业服务补贴（项）：指提供就业创业服务所产生的费用。</w:t>
      </w:r>
    </w:p>
    <w:p>
      <w:pPr>
        <w:spacing w:line="324" w:lineRule="auto"/>
        <w:ind w:firstLine="594"/>
        <w:rPr>
          <w:rFonts w:ascii="仿宋" w:hAnsi="仿宋" w:eastAsia="仿宋"/>
          <w:sz w:val="32"/>
          <w:szCs w:val="32"/>
        </w:rPr>
      </w:pPr>
      <w:r>
        <w:rPr>
          <w:rFonts w:hint="eastAsia" w:ascii="仿宋" w:hAnsi="仿宋" w:eastAsia="仿宋"/>
          <w:sz w:val="32"/>
          <w:szCs w:val="32"/>
        </w:rPr>
        <w:t>23.社会保障和就业支出（类）就业补助（款）社会保险补贴（项）：给予重点人群和部分企业的社会保险补贴。</w:t>
      </w:r>
    </w:p>
    <w:p>
      <w:pPr>
        <w:spacing w:line="324" w:lineRule="auto"/>
        <w:ind w:firstLine="594"/>
      </w:pPr>
      <w:r>
        <w:rPr>
          <w:rFonts w:hint="eastAsia" w:ascii="仿宋" w:hAnsi="仿宋" w:eastAsia="仿宋"/>
          <w:sz w:val="32"/>
          <w:szCs w:val="32"/>
        </w:rPr>
        <w:t>24.社会保障和就业支出（类）就业补助（款）其他就业补助支出（项）：就业补助资金中的其他就业补助支出。</w:t>
      </w:r>
    </w:p>
    <w:p>
      <w:pPr>
        <w:spacing w:line="324" w:lineRule="auto"/>
        <w:ind w:firstLine="594"/>
        <w:rPr>
          <w:rFonts w:ascii="仿宋" w:hAnsi="仿宋" w:eastAsia="仿宋"/>
          <w:sz w:val="32"/>
          <w:szCs w:val="32"/>
        </w:rPr>
      </w:pPr>
      <w:r>
        <w:rPr>
          <w:rFonts w:hint="eastAsia" w:ascii="仿宋" w:hAnsi="仿宋" w:eastAsia="仿宋"/>
          <w:sz w:val="32"/>
          <w:szCs w:val="32"/>
        </w:rPr>
        <w:t>25.社会保障和就业支出（类）就业补助（款）公益性岗位补贴（项）：对符合条件的就业困难人员在公益性岗位就业给予的岗位补贴支出。</w:t>
      </w:r>
    </w:p>
    <w:p>
      <w:pPr>
        <w:spacing w:line="324" w:lineRule="auto"/>
        <w:ind w:firstLine="594"/>
        <w:rPr>
          <w:rFonts w:ascii="仿宋" w:hAnsi="仿宋" w:eastAsia="仿宋"/>
          <w:sz w:val="32"/>
          <w:szCs w:val="32"/>
        </w:rPr>
      </w:pPr>
      <w:r>
        <w:rPr>
          <w:rFonts w:hint="eastAsia" w:ascii="仿宋" w:hAnsi="仿宋" w:eastAsia="仿宋"/>
          <w:sz w:val="32"/>
          <w:szCs w:val="32"/>
        </w:rPr>
        <w:t>26.社会保障和就业支出（类）就业补助（款）职业技能鉴定补贴（项）：对符合条件的人员参加职业技能鉴定给予的补贴支出。</w:t>
      </w:r>
    </w:p>
    <w:p>
      <w:pPr>
        <w:pStyle w:val="2"/>
        <w:ind w:firstLine="640" w:firstLineChars="200"/>
        <w:rPr>
          <w:rFonts w:hint="default" w:ascii="仿宋" w:hAnsi="仿宋" w:eastAsia="仿宋"/>
          <w:color w:val="auto"/>
          <w:sz w:val="32"/>
          <w:szCs w:val="32"/>
        </w:rPr>
      </w:pPr>
      <w:r>
        <w:rPr>
          <w:rFonts w:ascii="仿宋" w:hAnsi="仿宋" w:eastAsia="仿宋"/>
          <w:color w:val="auto"/>
          <w:sz w:val="32"/>
          <w:szCs w:val="32"/>
        </w:rPr>
        <w:t>27.社会保障和就业支出（类）就业补助（款）就业见习补贴（项）：对高校毕业生就业见习基本生活费给予的补贴支出。</w:t>
      </w:r>
    </w:p>
    <w:p>
      <w:pPr>
        <w:pStyle w:val="2"/>
        <w:ind w:firstLine="640" w:firstLineChars="200"/>
        <w:rPr>
          <w:rFonts w:hint="default"/>
          <w:color w:val="auto"/>
        </w:rPr>
      </w:pPr>
      <w:r>
        <w:rPr>
          <w:rFonts w:ascii="仿宋" w:hAnsi="仿宋" w:eastAsia="仿宋"/>
          <w:color w:val="auto"/>
          <w:sz w:val="32"/>
          <w:szCs w:val="32"/>
        </w:rPr>
        <w:t>28.社会保障</w:t>
      </w:r>
      <w:bookmarkStart w:id="38" w:name="_GoBack"/>
      <w:r>
        <w:rPr>
          <w:rFonts w:ascii="仿宋" w:hAnsi="仿宋" w:eastAsia="仿宋"/>
          <w:color w:val="auto"/>
          <w:sz w:val="32"/>
          <w:szCs w:val="32"/>
        </w:rPr>
        <w:t>和就</w:t>
      </w:r>
      <w:bookmarkEnd w:id="38"/>
      <w:r>
        <w:rPr>
          <w:rFonts w:ascii="仿宋" w:hAnsi="仿宋" w:eastAsia="仿宋"/>
          <w:color w:val="auto"/>
          <w:sz w:val="32"/>
          <w:szCs w:val="32"/>
        </w:rPr>
        <w:t>业支出（类）就业补助（款）求职创业补贴（项）：对符合规定条件的高校毕业生等求职创业给予的补贴支出。</w:t>
      </w:r>
    </w:p>
    <w:p>
      <w:pPr>
        <w:spacing w:line="324" w:lineRule="auto"/>
        <w:ind w:firstLine="640" w:firstLineChars="200"/>
        <w:rPr>
          <w:rFonts w:ascii="仿宋" w:hAnsi="仿宋" w:eastAsia="仿宋"/>
          <w:sz w:val="32"/>
          <w:szCs w:val="32"/>
        </w:rPr>
      </w:pPr>
      <w:r>
        <w:rPr>
          <w:rFonts w:hint="eastAsia" w:ascii="仿宋" w:hAnsi="仿宋" w:eastAsia="仿宋"/>
          <w:sz w:val="32"/>
          <w:szCs w:val="32"/>
        </w:rPr>
        <w:t>29.卫生健康支出（类）行政事业单位医疗（款）行政单位医疗（项）：指财政部门集中安排的行政单位基本医疗保险缴费经费，未参加医疗保险的行政单位的公费医疗经费，按国家规定享受离退休人员、红军老战士待遇人员的医疗经费。</w:t>
      </w:r>
    </w:p>
    <w:p>
      <w:pPr>
        <w:spacing w:line="324" w:lineRule="auto"/>
        <w:ind w:firstLine="594"/>
        <w:rPr>
          <w:rFonts w:ascii="仿宋" w:hAnsi="仿宋" w:eastAsia="仿宋"/>
          <w:sz w:val="32"/>
          <w:szCs w:val="32"/>
        </w:rPr>
      </w:pPr>
      <w:r>
        <w:rPr>
          <w:rFonts w:hint="eastAsia" w:ascii="仿宋" w:hAnsi="仿宋" w:eastAsia="仿宋"/>
          <w:sz w:val="32"/>
          <w:szCs w:val="32"/>
        </w:rPr>
        <w:t>30.住房保障支出（类）住房改革支出（款）住房公积金（项）：指行政事业单位按人力资源和社会保障部、财政部规定的基本工资和津贴补贴以及规定比例为职工缴纳的住房公积金。</w:t>
      </w:r>
    </w:p>
    <w:p>
      <w:pPr>
        <w:spacing w:line="324" w:lineRule="auto"/>
        <w:ind w:firstLine="594"/>
        <w:rPr>
          <w:rFonts w:ascii="仿宋_GB2312" w:hAnsi="仿宋_GB2312" w:eastAsia="仿宋_GB2312"/>
          <w:sz w:val="32"/>
        </w:rPr>
      </w:pPr>
    </w:p>
    <w:p>
      <w:pPr>
        <w:spacing w:line="324" w:lineRule="auto"/>
        <w:ind w:firstLine="594"/>
        <w:rPr>
          <w:rFonts w:ascii="仿宋_GB2312" w:hAnsi="仿宋_GB2312" w:eastAsia="仿宋_GB2312"/>
          <w:sz w:val="32"/>
        </w:rPr>
      </w:pPr>
    </w:p>
    <w:p>
      <w:pPr>
        <w:jc w:val="left"/>
        <w:rPr>
          <w:rFonts w:ascii="宋体" w:hAnsi="宋体"/>
          <w:kern w:val="0"/>
          <w:sz w:val="18"/>
          <w:lang w:val="zh-CN"/>
        </w:rPr>
      </w:pPr>
    </w:p>
    <w:p>
      <w:pPr>
        <w:jc w:val="left"/>
        <w:rPr>
          <w:rFonts w:ascii="宋体" w:hAnsi="宋体"/>
          <w:kern w:val="0"/>
          <w:sz w:val="18"/>
          <w:lang w:val="zh-CN"/>
        </w:rPr>
      </w:pPr>
    </w:p>
    <w:p>
      <w:pPr>
        <w:jc w:val="left"/>
        <w:rPr>
          <w:rFonts w:ascii="黑体" w:hAnsi="黑体" w:eastAsia="黑体"/>
          <w:spacing w:val="15"/>
          <w:sz w:val="44"/>
        </w:rPr>
      </w:pPr>
    </w:p>
    <w:p>
      <w:pPr>
        <w:jc w:val="left"/>
        <w:rPr>
          <w:rFonts w:ascii="宋体" w:hAnsi="宋体"/>
          <w:kern w:val="0"/>
          <w:sz w:val="18"/>
          <w:lang w:val="zh-CN"/>
        </w:rPr>
      </w:pPr>
    </w:p>
    <w:p>
      <w:pPr>
        <w:jc w:val="left"/>
        <w:rPr>
          <w:rFonts w:ascii="宋体" w:hAnsi="宋体"/>
          <w:kern w:val="0"/>
          <w:sz w:val="18"/>
          <w:lang w:val="zh-CN"/>
        </w:rPr>
      </w:pPr>
    </w:p>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宋体-方正超大字符集"/>
    <w:panose1 w:val="00000000000000000000"/>
    <w:charset w:val="86"/>
    <w:family w:val="auto"/>
    <w:pitch w:val="default"/>
    <w:sig w:usb0="00000000" w:usb1="00000000" w:usb2="00000012"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653ADA"/>
    <w:multiLevelType w:val="singleLevel"/>
    <w:tmpl w:val="F0653ADA"/>
    <w:lvl w:ilvl="0" w:tentative="0">
      <w:start w:val="1"/>
      <w:numFmt w:val="decimal"/>
      <w:suff w:val="nothing"/>
      <w:lvlText w:val="（%1）"/>
      <w:lvlJc w:val="left"/>
    </w:lvl>
  </w:abstractNum>
  <w:abstractNum w:abstractNumId="1">
    <w:nsid w:val="2C0465BD"/>
    <w:multiLevelType w:val="singleLevel"/>
    <w:tmpl w:val="2C0465BD"/>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90B45"/>
    <w:rsid w:val="001050F4"/>
    <w:rsid w:val="00172A27"/>
    <w:rsid w:val="003B6F64"/>
    <w:rsid w:val="007A1FE3"/>
    <w:rsid w:val="045D0968"/>
    <w:rsid w:val="04AD69A4"/>
    <w:rsid w:val="0A8A4FC9"/>
    <w:rsid w:val="0D567FD2"/>
    <w:rsid w:val="13035CE0"/>
    <w:rsid w:val="24543FAC"/>
    <w:rsid w:val="269D7231"/>
    <w:rsid w:val="334B1843"/>
    <w:rsid w:val="33C01B87"/>
    <w:rsid w:val="34A23681"/>
    <w:rsid w:val="3F1A2FFF"/>
    <w:rsid w:val="4D457F4C"/>
    <w:rsid w:val="4EEC4F9B"/>
    <w:rsid w:val="51403E79"/>
    <w:rsid w:val="545E19AA"/>
    <w:rsid w:val="54EA0454"/>
    <w:rsid w:val="5F826D5D"/>
    <w:rsid w:val="60D24AAA"/>
    <w:rsid w:val="65C349CB"/>
    <w:rsid w:val="69B15067"/>
    <w:rsid w:val="6E9F5D46"/>
    <w:rsid w:val="6EA000EA"/>
    <w:rsid w:val="6ECD065C"/>
    <w:rsid w:val="7A951119"/>
    <w:rsid w:val="7AE4358F"/>
    <w:rsid w:val="7EE86804"/>
    <w:rsid w:val="7FA722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Balloon Text"/>
    <w:basedOn w:val="1"/>
    <w:link w:val="11"/>
    <w:uiPriority w:val="0"/>
    <w:rPr>
      <w:sz w:val="18"/>
      <w:szCs w:val="18"/>
    </w:rPr>
  </w:style>
  <w:style w:type="paragraph" w:styleId="4">
    <w:name w:val="footer"/>
    <w:basedOn w:val="1"/>
    <w:link w:val="13"/>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kern w:val="0"/>
      <w:sz w:val="24"/>
    </w:rPr>
  </w:style>
  <w:style w:type="paragraph" w:customStyle="1" w:styleId="9">
    <w:name w:val="WPSOffice手动目录 1"/>
    <w:uiPriority w:val="0"/>
    <w:rPr>
      <w:rFonts w:ascii="Times New Roman" w:hAnsi="Times New Roman" w:eastAsia="宋体" w:cs="Times New Roman"/>
      <w:lang w:val="en-US" w:eastAsia="zh-CN" w:bidi="ar-SA"/>
    </w:rPr>
  </w:style>
  <w:style w:type="paragraph" w:customStyle="1" w:styleId="10">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1">
    <w:name w:val="批注框文本 Char"/>
    <w:basedOn w:val="8"/>
    <w:link w:val="3"/>
    <w:uiPriority w:val="0"/>
    <w:rPr>
      <w:kern w:val="2"/>
      <w:sz w:val="18"/>
      <w:szCs w:val="18"/>
    </w:rPr>
  </w:style>
  <w:style w:type="character" w:customStyle="1" w:styleId="12">
    <w:name w:val="页眉 Char"/>
    <w:basedOn w:val="8"/>
    <w:link w:val="5"/>
    <w:uiPriority w:val="0"/>
    <w:rPr>
      <w:kern w:val="2"/>
      <w:sz w:val="18"/>
      <w:szCs w:val="18"/>
    </w:rPr>
  </w:style>
  <w:style w:type="character" w:customStyle="1" w:styleId="13">
    <w:name w:val="页脚 Char"/>
    <w:basedOn w:val="8"/>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1774</Words>
  <Characters>10118</Characters>
  <Lines>84</Lines>
  <Paragraphs>23</Paragraphs>
  <TotalTime>9</TotalTime>
  <ScaleCrop>false</ScaleCrop>
  <LinksUpToDate>false</LinksUpToDate>
  <CharactersWithSpaces>11869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2021-08-31T08:19:00Z</dcterms:created>
  <dc:creator>Administrator</dc:creator>
  <cp:lastModifiedBy>jn</cp:lastModifiedBy>
  <dcterms:modified xsi:type="dcterms:W3CDTF">2021-09-01T03:12:03Z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A3561C9B031A4FF9A03D3022F37B96CF</vt:lpwstr>
  </property>
</Properties>
</file>