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景宁县人才管理服务处2020年度单位决算</w:t>
      </w:r>
    </w:p>
    <w:p>
      <w:pPr>
        <w:pStyle w:val="3"/>
        <w:jc w:val="center"/>
      </w:pPr>
      <w:r>
        <w:rPr>
          <w:rFonts w:hint="eastAsia"/>
        </w:rPr>
        <w:t>目录</w:t>
      </w:r>
    </w:p>
    <w:p>
      <w:pPr>
        <w:rPr>
          <w:sz w:val="28"/>
          <w:szCs w:val="28"/>
        </w:rPr>
      </w:pPr>
      <w:r>
        <w:rPr>
          <w:rFonts w:hint="eastAsia"/>
          <w:sz w:val="28"/>
          <w:szCs w:val="28"/>
        </w:rPr>
        <w:t>一、概况................................................................................................( 2 )</w:t>
      </w:r>
    </w:p>
    <w:p>
      <w:pPr>
        <w:rPr>
          <w:sz w:val="28"/>
          <w:szCs w:val="28"/>
        </w:rPr>
      </w:pPr>
      <w:r>
        <w:rPr>
          <w:rFonts w:hint="eastAsia"/>
          <w:sz w:val="28"/>
          <w:szCs w:val="28"/>
        </w:rPr>
        <w:t>（一）部门（单位）职责.........................................................................( 2 )</w:t>
      </w:r>
    </w:p>
    <w:p>
      <w:pPr>
        <w:rPr>
          <w:sz w:val="28"/>
          <w:szCs w:val="28"/>
        </w:rPr>
      </w:pPr>
      <w:r>
        <w:rPr>
          <w:rFonts w:hint="eastAsia"/>
          <w:sz w:val="28"/>
          <w:szCs w:val="28"/>
        </w:rPr>
        <w:t>（二）机构设置....................................................................................( 2 )</w:t>
      </w:r>
    </w:p>
    <w:p>
      <w:pPr>
        <w:rPr>
          <w:sz w:val="28"/>
          <w:szCs w:val="28"/>
        </w:rPr>
      </w:pPr>
      <w:r>
        <w:rPr>
          <w:rFonts w:hint="eastAsia"/>
          <w:sz w:val="28"/>
          <w:szCs w:val="28"/>
        </w:rPr>
        <w:t>二、2020年度部门（单位）决算公开表................................................( 2 )</w:t>
      </w:r>
    </w:p>
    <w:p>
      <w:pPr>
        <w:rPr>
          <w:sz w:val="28"/>
          <w:szCs w:val="28"/>
        </w:rPr>
      </w:pPr>
      <w:r>
        <w:rPr>
          <w:rFonts w:hint="eastAsia"/>
          <w:sz w:val="28"/>
          <w:szCs w:val="28"/>
        </w:rPr>
        <w:t>三、2020年度部门（单位）决算情况说明............................................( 2 )</w:t>
      </w:r>
    </w:p>
    <w:p>
      <w:pPr>
        <w:rPr>
          <w:sz w:val="28"/>
          <w:szCs w:val="28"/>
        </w:rPr>
      </w:pPr>
      <w:r>
        <w:rPr>
          <w:rFonts w:hint="eastAsia"/>
          <w:sz w:val="28"/>
          <w:szCs w:val="28"/>
        </w:rPr>
        <w:t>（一）收入支出决算总体情况说明....................................................( 2 )</w:t>
      </w:r>
    </w:p>
    <w:p>
      <w:pPr>
        <w:rPr>
          <w:sz w:val="28"/>
          <w:szCs w:val="28"/>
        </w:rPr>
      </w:pPr>
      <w:r>
        <w:rPr>
          <w:rFonts w:hint="eastAsia"/>
          <w:sz w:val="28"/>
          <w:szCs w:val="28"/>
        </w:rPr>
        <w:t>（二）收入决算情况说明..................................................................( 2 )</w:t>
      </w:r>
    </w:p>
    <w:p>
      <w:pPr>
        <w:rPr>
          <w:sz w:val="28"/>
          <w:szCs w:val="28"/>
        </w:rPr>
      </w:pPr>
      <w:r>
        <w:rPr>
          <w:rFonts w:hint="eastAsia"/>
          <w:sz w:val="28"/>
          <w:szCs w:val="28"/>
        </w:rPr>
        <w:t>（三）支出决算情况说明...................................................................( 3 )</w:t>
      </w:r>
    </w:p>
    <w:p>
      <w:pPr>
        <w:rPr>
          <w:sz w:val="28"/>
          <w:szCs w:val="28"/>
        </w:rPr>
      </w:pPr>
      <w:r>
        <w:rPr>
          <w:rFonts w:hint="eastAsia"/>
          <w:sz w:val="28"/>
          <w:szCs w:val="28"/>
        </w:rPr>
        <w:t>（四）财政拨款收入支出决算总体情况说明....................................( 3 )</w:t>
      </w:r>
    </w:p>
    <w:p>
      <w:pPr>
        <w:rPr>
          <w:sz w:val="28"/>
          <w:szCs w:val="28"/>
        </w:rPr>
      </w:pPr>
      <w:r>
        <w:rPr>
          <w:rFonts w:hint="eastAsia"/>
          <w:sz w:val="28"/>
          <w:szCs w:val="28"/>
        </w:rPr>
        <w:t>（五）一般公共预算财政拨款支出决算情况说明...........................( 4 )</w:t>
      </w:r>
    </w:p>
    <w:p>
      <w:pPr>
        <w:rPr>
          <w:sz w:val="28"/>
          <w:szCs w:val="28"/>
        </w:rPr>
      </w:pPr>
      <w:r>
        <w:rPr>
          <w:rFonts w:hint="eastAsia"/>
          <w:sz w:val="28"/>
          <w:szCs w:val="28"/>
        </w:rPr>
        <w:t>（六）一般公共预算财政拨款基本支出决算情况说明.....................( 6 )</w:t>
      </w:r>
    </w:p>
    <w:p>
      <w:pPr>
        <w:rPr>
          <w:sz w:val="28"/>
          <w:szCs w:val="28"/>
        </w:rPr>
      </w:pPr>
      <w:r>
        <w:rPr>
          <w:rFonts w:hint="eastAsia"/>
          <w:sz w:val="28"/>
          <w:szCs w:val="28"/>
        </w:rPr>
        <w:t>（七）政府性基金预算财政拨款支出决算总体情况说明.................( 7 )</w:t>
      </w:r>
    </w:p>
    <w:p>
      <w:pPr>
        <w:rPr>
          <w:sz w:val="28"/>
          <w:szCs w:val="28"/>
        </w:rPr>
      </w:pPr>
      <w:r>
        <w:rPr>
          <w:rFonts w:hint="eastAsia"/>
          <w:sz w:val="28"/>
          <w:szCs w:val="28"/>
        </w:rPr>
        <w:t>（八）国有资本经营预算财政拨款支出决算总体情况说明.............( 7 )</w:t>
      </w:r>
    </w:p>
    <w:p>
      <w:pPr>
        <w:rPr>
          <w:sz w:val="28"/>
          <w:szCs w:val="28"/>
        </w:rPr>
      </w:pPr>
      <w:r>
        <w:rPr>
          <w:rFonts w:hint="eastAsia"/>
          <w:sz w:val="28"/>
          <w:szCs w:val="28"/>
        </w:rPr>
        <w:t>（九）一般公共预算财政拨款“三公”经费支出决算情况说明.........( 7 )</w:t>
      </w:r>
    </w:p>
    <w:p>
      <w:pPr>
        <w:rPr>
          <w:sz w:val="28"/>
          <w:szCs w:val="28"/>
        </w:rPr>
      </w:pPr>
      <w:r>
        <w:rPr>
          <w:rFonts w:hint="eastAsia"/>
          <w:sz w:val="28"/>
          <w:szCs w:val="28"/>
        </w:rPr>
        <w:t>（十）机关运行经费支出说明.......................................................( 9 )</w:t>
      </w:r>
    </w:p>
    <w:p>
      <w:pPr>
        <w:rPr>
          <w:sz w:val="28"/>
          <w:szCs w:val="28"/>
        </w:rPr>
      </w:pPr>
      <w:r>
        <w:rPr>
          <w:rFonts w:hint="eastAsia"/>
          <w:sz w:val="28"/>
          <w:szCs w:val="28"/>
        </w:rPr>
        <w:t>（十一）政府采购支出说明................................................................( 9 )</w:t>
      </w:r>
    </w:p>
    <w:p>
      <w:pPr>
        <w:rPr>
          <w:sz w:val="28"/>
          <w:szCs w:val="28"/>
        </w:rPr>
      </w:pPr>
      <w:r>
        <w:rPr>
          <w:rFonts w:hint="eastAsia"/>
          <w:sz w:val="28"/>
          <w:szCs w:val="28"/>
        </w:rPr>
        <w:t>（十二）国有资产占有情况说明........................................................( 9 )</w:t>
      </w:r>
    </w:p>
    <w:p>
      <w:pPr>
        <w:rPr>
          <w:sz w:val="28"/>
          <w:szCs w:val="28"/>
        </w:rPr>
      </w:pPr>
      <w:r>
        <w:rPr>
          <w:rFonts w:hint="eastAsia"/>
          <w:sz w:val="28"/>
          <w:szCs w:val="28"/>
        </w:rPr>
        <w:t>（十三）预算绩效情况说明................................................................( 9 )</w:t>
      </w:r>
    </w:p>
    <w:p>
      <w:pPr>
        <w:rPr>
          <w:sz w:val="28"/>
          <w:szCs w:val="28"/>
        </w:rPr>
      </w:pPr>
      <w:r>
        <w:rPr>
          <w:rFonts w:hint="eastAsia"/>
          <w:sz w:val="28"/>
          <w:szCs w:val="28"/>
        </w:rPr>
        <w:t>四、名词解释....................................................................................( 12 )</w:t>
      </w:r>
    </w:p>
    <w:p>
      <w:pPr>
        <w:rPr>
          <w:rFonts w:hint="eastAsia"/>
        </w:rPr>
      </w:pPr>
    </w:p>
    <w:p>
      <w:pPr>
        <w:pStyle w:val="2"/>
      </w:pPr>
    </w:p>
    <w:p>
      <w:pPr>
        <w:spacing w:line="360" w:lineRule="auto"/>
        <w:ind w:firstLine="640" w:firstLineChars="200"/>
        <w:rPr>
          <w:rFonts w:hint="eastAsia"/>
          <w:sz w:val="32"/>
          <w:szCs w:val="32"/>
        </w:rPr>
      </w:pPr>
    </w:p>
    <w:p>
      <w:pPr>
        <w:spacing w:line="360" w:lineRule="auto"/>
        <w:ind w:firstLine="640" w:firstLineChars="200"/>
        <w:rPr>
          <w:sz w:val="32"/>
          <w:szCs w:val="32"/>
        </w:rPr>
      </w:pPr>
      <w:r>
        <w:rPr>
          <w:rFonts w:hint="eastAsia"/>
          <w:sz w:val="32"/>
          <w:szCs w:val="32"/>
        </w:rPr>
        <w:t>一、概况</w:t>
      </w:r>
    </w:p>
    <w:p>
      <w:pPr>
        <w:spacing w:line="360" w:lineRule="auto"/>
        <w:ind w:firstLine="640" w:firstLineChars="200"/>
        <w:rPr>
          <w:sz w:val="32"/>
          <w:szCs w:val="32"/>
        </w:rPr>
      </w:pPr>
      <w:r>
        <w:rPr>
          <w:rFonts w:hint="eastAsia"/>
          <w:sz w:val="32"/>
          <w:szCs w:val="32"/>
        </w:rPr>
        <w:t>（一）部门（单位）职责</w:t>
      </w:r>
    </w:p>
    <w:p>
      <w:pPr>
        <w:spacing w:line="360" w:lineRule="auto"/>
        <w:ind w:firstLine="640" w:firstLineChars="200"/>
        <w:rPr>
          <w:sz w:val="32"/>
          <w:szCs w:val="32"/>
        </w:rPr>
      </w:pPr>
      <w:r>
        <w:rPr>
          <w:rFonts w:hint="eastAsia"/>
          <w:sz w:val="32"/>
          <w:szCs w:val="32"/>
        </w:rPr>
        <w:t>负责人才市场中介组织的管理；承担机关工勤人员、新进事业单位工作人员、大学生村官及编外用工的人事档案管理；负责全县机关事业单位编外人员的招考工作；指导全县专业技术人员的继续教育管理和公益性人才招聘活动的组织实施；负责流动人员人事档案管理、户口挂靠、出国政审、人事代理工作等。</w:t>
      </w:r>
    </w:p>
    <w:p>
      <w:pPr>
        <w:spacing w:line="360" w:lineRule="auto"/>
        <w:ind w:firstLine="640" w:firstLineChars="200"/>
        <w:rPr>
          <w:sz w:val="32"/>
          <w:szCs w:val="32"/>
        </w:rPr>
      </w:pPr>
      <w:r>
        <w:rPr>
          <w:rFonts w:hint="eastAsia"/>
          <w:sz w:val="32"/>
          <w:szCs w:val="32"/>
        </w:rPr>
        <w:t>（二）机构设置</w:t>
      </w:r>
    </w:p>
    <w:p>
      <w:pPr>
        <w:spacing w:line="360" w:lineRule="auto"/>
        <w:ind w:firstLine="640" w:firstLineChars="200"/>
        <w:rPr>
          <w:sz w:val="32"/>
          <w:szCs w:val="32"/>
        </w:rPr>
      </w:pPr>
      <w:r>
        <w:rPr>
          <w:rFonts w:hint="eastAsia"/>
          <w:sz w:val="32"/>
          <w:szCs w:val="32"/>
        </w:rPr>
        <w:t>景宁畲族自治县人才管理服务处为景宁畲族自治县人力资源和社会保障局下属单位，参照公务员管理，编制数为3个。</w:t>
      </w:r>
    </w:p>
    <w:p>
      <w:pPr>
        <w:spacing w:line="360" w:lineRule="auto"/>
        <w:ind w:firstLine="640" w:firstLineChars="200"/>
        <w:rPr>
          <w:sz w:val="32"/>
          <w:szCs w:val="32"/>
        </w:rPr>
      </w:pPr>
      <w:r>
        <w:rPr>
          <w:rFonts w:hint="eastAsia"/>
          <w:sz w:val="32"/>
          <w:szCs w:val="32"/>
        </w:rPr>
        <w:t>二、2020年度部门（单位）决算公开表</w:t>
      </w:r>
    </w:p>
    <w:p>
      <w:pPr>
        <w:spacing w:line="360" w:lineRule="auto"/>
        <w:ind w:firstLine="640" w:firstLineChars="200"/>
        <w:rPr>
          <w:sz w:val="32"/>
          <w:szCs w:val="32"/>
        </w:rPr>
      </w:pPr>
      <w:r>
        <w:rPr>
          <w:rFonts w:hint="eastAsia"/>
          <w:sz w:val="32"/>
          <w:szCs w:val="32"/>
        </w:rPr>
        <w:t>详见附表。</w:t>
      </w:r>
    </w:p>
    <w:p>
      <w:pPr>
        <w:spacing w:line="360" w:lineRule="auto"/>
        <w:ind w:firstLine="640" w:firstLineChars="200"/>
        <w:rPr>
          <w:sz w:val="32"/>
          <w:szCs w:val="32"/>
        </w:rPr>
      </w:pPr>
      <w:r>
        <w:rPr>
          <w:rFonts w:hint="eastAsia"/>
          <w:sz w:val="32"/>
          <w:szCs w:val="32"/>
        </w:rPr>
        <w:t>三、2020年度部门（单位）决算情况说明</w:t>
      </w:r>
    </w:p>
    <w:p>
      <w:pPr>
        <w:spacing w:line="360" w:lineRule="auto"/>
        <w:ind w:firstLine="640" w:firstLineChars="200"/>
        <w:rPr>
          <w:sz w:val="32"/>
          <w:szCs w:val="32"/>
        </w:rPr>
      </w:pPr>
      <w:r>
        <w:rPr>
          <w:rFonts w:hint="eastAsia"/>
          <w:sz w:val="32"/>
          <w:szCs w:val="32"/>
        </w:rPr>
        <w:t>（一）收入支出决算总体情况说明</w:t>
      </w:r>
    </w:p>
    <w:p>
      <w:pPr>
        <w:spacing w:line="360" w:lineRule="auto"/>
        <w:ind w:firstLine="640" w:firstLineChars="200"/>
        <w:rPr>
          <w:sz w:val="32"/>
          <w:szCs w:val="32"/>
        </w:rPr>
      </w:pPr>
      <w:r>
        <w:rPr>
          <w:rFonts w:hint="eastAsia"/>
          <w:sz w:val="32"/>
          <w:szCs w:val="32"/>
        </w:rPr>
        <w:t>2020年度收入总计79.56万元，支出总计79.56万元,与2019年度相比，各减少55.17万元，下降40.95%。主要原因是：9月份财务并入县人社局，删减景宁县机关事业单位编外用工招考经费、在非公有制企业就业的大中专毕业生养老金单位部分代缴等两个项目，人事档案数字化项目经费减少。</w:t>
      </w:r>
    </w:p>
    <w:p>
      <w:pPr>
        <w:spacing w:line="360" w:lineRule="auto"/>
        <w:ind w:firstLine="640" w:firstLineChars="200"/>
        <w:rPr>
          <w:sz w:val="32"/>
          <w:szCs w:val="32"/>
        </w:rPr>
      </w:pPr>
      <w:r>
        <w:rPr>
          <w:rFonts w:hint="eastAsia"/>
          <w:sz w:val="32"/>
          <w:szCs w:val="32"/>
        </w:rPr>
        <w:t>（二）收入决算情况说明</w:t>
      </w:r>
    </w:p>
    <w:p>
      <w:pPr>
        <w:spacing w:line="360" w:lineRule="auto"/>
        <w:ind w:firstLine="640" w:firstLineChars="200"/>
        <w:rPr>
          <w:sz w:val="32"/>
          <w:szCs w:val="32"/>
        </w:rPr>
      </w:pPr>
      <w:r>
        <w:rPr>
          <w:rFonts w:hint="eastAsia"/>
          <w:sz w:val="32"/>
          <w:szCs w:val="32"/>
        </w:rPr>
        <w:t>本年收入合计71.07万元；包括财政拨款收入71.07万元（其中，一般公共预算71.07万元，政府性基金预算0万元,国有资本经营预算0万元），占收入合计100%；上级补助收入0万元，占收入合计0%；事业收入0万元，占收入合计0%；经营收入0万元，占收入合计0%；附属单位上缴收入0万元，占收入合计0%；其他收入0万元，占收入合计0%。</w:t>
      </w:r>
    </w:p>
    <w:p>
      <w:pPr>
        <w:spacing w:line="360" w:lineRule="auto"/>
        <w:ind w:firstLine="640" w:firstLineChars="200"/>
        <w:rPr>
          <w:sz w:val="32"/>
          <w:szCs w:val="32"/>
        </w:rPr>
      </w:pPr>
      <w:r>
        <w:rPr>
          <w:rFonts w:hint="eastAsia"/>
          <w:sz w:val="32"/>
          <w:szCs w:val="32"/>
        </w:rPr>
        <w:t>（三）支出决算情况说明</w:t>
      </w:r>
    </w:p>
    <w:p>
      <w:pPr>
        <w:spacing w:line="360" w:lineRule="auto"/>
        <w:ind w:firstLine="640" w:firstLineChars="200"/>
        <w:rPr>
          <w:sz w:val="32"/>
          <w:szCs w:val="32"/>
        </w:rPr>
      </w:pPr>
      <w:r>
        <w:rPr>
          <w:rFonts w:hint="eastAsia"/>
          <w:sz w:val="32"/>
          <w:szCs w:val="32"/>
        </w:rPr>
        <w:t>本年支出合计71.07万元，其中基本支出64.51万元，占90.76%；项目支出6.56万元，占9.24%；上缴上级支出0万元，占0%；经营支出0万元，占0%；对附属单位补助支出0万元，占0%。</w:t>
      </w:r>
    </w:p>
    <w:p>
      <w:pPr>
        <w:spacing w:line="360" w:lineRule="auto"/>
        <w:ind w:firstLine="640" w:firstLineChars="200"/>
        <w:rPr>
          <w:sz w:val="32"/>
          <w:szCs w:val="32"/>
        </w:rPr>
      </w:pPr>
      <w:r>
        <w:rPr>
          <w:rFonts w:hint="eastAsia"/>
          <w:sz w:val="32"/>
          <w:szCs w:val="32"/>
        </w:rPr>
        <w:t>（四）财政拨款收入支出决算总体情况说明</w:t>
      </w:r>
    </w:p>
    <w:p>
      <w:pPr>
        <w:spacing w:line="360" w:lineRule="auto"/>
        <w:ind w:firstLine="640" w:firstLineChars="200"/>
        <w:rPr>
          <w:sz w:val="32"/>
          <w:szCs w:val="32"/>
        </w:rPr>
      </w:pPr>
      <w:r>
        <w:rPr>
          <w:rFonts w:hint="eastAsia"/>
          <w:sz w:val="32"/>
          <w:szCs w:val="32"/>
        </w:rPr>
        <w:t>2020年度财政拨款收入总计71.07万元，支出总计71.07万元，与2019年相比，各减少52.98万元，下降42.71%。主要原因是9月份财务并入县人社局，删减景宁县机关事业单位编外用工招考经费、在非公有制企业就业的大中专毕业生养老金单位部分代缴等两个项目，人事档案数字化项目经费减少；财政拨款支出年初预算数96.52万元，完成年初预算的73.63%，主要原因是9月份财务并入县人社局，删减景宁县机关事业单位编外用工招考经费、在非公有制企业就业的大中专毕业生养老金单位部分代缴等两个项目，人事档案数字化项目经费减少。</w:t>
      </w:r>
    </w:p>
    <w:p>
      <w:pPr>
        <w:spacing w:line="360" w:lineRule="auto"/>
        <w:ind w:firstLine="640" w:firstLineChars="200"/>
        <w:rPr>
          <w:sz w:val="32"/>
          <w:szCs w:val="32"/>
        </w:rPr>
      </w:pPr>
      <w:r>
        <w:rPr>
          <w:rFonts w:hint="eastAsia"/>
          <w:sz w:val="32"/>
          <w:szCs w:val="32"/>
        </w:rPr>
        <w:t>（五）一般公共预算财政拨款支出决算情况说明</w:t>
      </w:r>
    </w:p>
    <w:p>
      <w:pPr>
        <w:spacing w:line="360" w:lineRule="auto"/>
        <w:ind w:firstLine="640" w:firstLineChars="200"/>
        <w:rPr>
          <w:sz w:val="32"/>
          <w:szCs w:val="32"/>
        </w:rPr>
      </w:pPr>
      <w:r>
        <w:rPr>
          <w:rFonts w:hint="eastAsia"/>
          <w:sz w:val="32"/>
          <w:szCs w:val="32"/>
        </w:rPr>
        <w:t>1.一般公共预算财政拨款支出决算总体情况。</w:t>
      </w:r>
    </w:p>
    <w:p>
      <w:pPr>
        <w:spacing w:line="360" w:lineRule="auto"/>
        <w:ind w:firstLine="640" w:firstLineChars="200"/>
        <w:rPr>
          <w:sz w:val="32"/>
          <w:szCs w:val="32"/>
        </w:rPr>
      </w:pPr>
      <w:r>
        <w:rPr>
          <w:rFonts w:hint="eastAsia"/>
          <w:sz w:val="32"/>
          <w:szCs w:val="32"/>
        </w:rPr>
        <w:t>2020年度一般公共预算财政拨款支出71.07万元，占本年支出合计的100%。与2019年相比，一般公共预算财政拨款支出减少52.98万元，下降42.71%。主要原因是：9月份财务并入县人社局，删减景宁县机关事业单位编外用工招考经费、在非公有制企业就业的大中专毕业生养老金单位部分代缴等两个项目，人事档案数字化项目经费减少。</w:t>
      </w:r>
    </w:p>
    <w:p>
      <w:pPr>
        <w:spacing w:line="360" w:lineRule="auto"/>
        <w:ind w:firstLine="640" w:firstLineChars="200"/>
        <w:rPr>
          <w:sz w:val="32"/>
          <w:szCs w:val="32"/>
        </w:rPr>
      </w:pPr>
      <w:r>
        <w:rPr>
          <w:rFonts w:hint="eastAsia"/>
          <w:sz w:val="32"/>
          <w:szCs w:val="32"/>
        </w:rPr>
        <w:t>2.一般公共预算财政拨款支出决算结构情况。</w:t>
      </w:r>
    </w:p>
    <w:p>
      <w:pPr>
        <w:spacing w:line="360" w:lineRule="auto"/>
        <w:ind w:firstLine="640" w:firstLineChars="200"/>
        <w:rPr>
          <w:sz w:val="32"/>
          <w:szCs w:val="32"/>
        </w:rPr>
      </w:pPr>
      <w:r>
        <w:rPr>
          <w:rFonts w:hint="eastAsia"/>
          <w:sz w:val="32"/>
          <w:szCs w:val="32"/>
        </w:rPr>
        <w:t>2020年度一般公共预算财政拨款支出71.07万元，主要用于以下方面：一般公共服务（类）支出59.03万元，占83.06%；国防（类）支出0万元,占0%；公共安全（类）支出0万元,占0%；教育（类）支出0万元,占0%；科学技术（类）支出0万元,占0%；文化旅游体育与传媒（类）支出0万元,占0%；社会保障和就业（类）支出4.56万元,占6.42%；卫生健康（类）支出2.91万元,占4.1%；节能环保（类）支出0万元,占0%；城乡社区（类）支出0万元,占0%；农林水（类）支出0万元,占0%；交通运输（类）支出0万元,占0%；资源勘探工业信息等（类）支出0万元,占0%；商业服务业等（类）支出0万元,占0%；金融（类）支出0万元,占0%；援助其他地区（类）支出0万元,占0%；自然资源海洋气象等（类）支出0万元,占0%；住房保障（类）支出4.57万元,占6.43%；粮油物资储备（类）支出0万元,占0%；灾害防治及应急管理（类）支出0万元,占0%；其他（类）支出0万元,占0%；债务还本（类）支出0万元,占0%；债务付息（类）支出0万元,占0%。</w:t>
      </w:r>
    </w:p>
    <w:p>
      <w:pPr>
        <w:spacing w:line="360" w:lineRule="auto"/>
        <w:ind w:firstLine="640" w:firstLineChars="200"/>
        <w:rPr>
          <w:sz w:val="32"/>
          <w:szCs w:val="32"/>
        </w:rPr>
      </w:pPr>
      <w:r>
        <w:rPr>
          <w:rFonts w:hint="eastAsia"/>
          <w:sz w:val="32"/>
          <w:szCs w:val="32"/>
        </w:rPr>
        <w:t>3.一般公共预算财政拨款支出决算具体情况。</w:t>
      </w:r>
    </w:p>
    <w:p>
      <w:pPr>
        <w:spacing w:line="360" w:lineRule="auto"/>
        <w:ind w:firstLine="640" w:firstLineChars="200"/>
        <w:rPr>
          <w:sz w:val="32"/>
          <w:szCs w:val="32"/>
        </w:rPr>
      </w:pPr>
      <w:r>
        <w:rPr>
          <w:rFonts w:hint="eastAsia"/>
          <w:sz w:val="32"/>
          <w:szCs w:val="32"/>
        </w:rPr>
        <w:t>2020年度一般公共预算财政拨款支出年初预算为96.52万元，支出决算为71.07万元,完成年初预算的73.63%，主要原因是9月份财务并入县人社局，删减景宁县机关事业单位编外用工招考经费、在非公有制企业就业的大中专毕业生养老金单位部分代缴等两个项目，人事档案数字化项目经费减少。</w:t>
      </w:r>
    </w:p>
    <w:p>
      <w:pPr>
        <w:spacing w:line="360" w:lineRule="auto"/>
        <w:ind w:firstLine="640" w:firstLineChars="200"/>
        <w:rPr>
          <w:sz w:val="32"/>
          <w:szCs w:val="32"/>
        </w:rPr>
      </w:pPr>
      <w:r>
        <w:rPr>
          <w:rFonts w:hint="eastAsia"/>
          <w:sz w:val="32"/>
          <w:szCs w:val="32"/>
        </w:rPr>
        <w:t>其中：</w:t>
      </w:r>
    </w:p>
    <w:p>
      <w:pPr>
        <w:spacing w:line="360" w:lineRule="auto"/>
        <w:ind w:firstLine="640" w:firstLineChars="200"/>
        <w:rPr>
          <w:sz w:val="32"/>
          <w:szCs w:val="32"/>
        </w:rPr>
      </w:pPr>
      <w:r>
        <w:rPr>
          <w:rFonts w:hint="eastAsia"/>
          <w:sz w:val="32"/>
          <w:szCs w:val="32"/>
        </w:rPr>
        <w:t>一般公共服务支出（类）人力资源事务（款）行政运行（项）。年初预算为51.97万元，支出决算为52.09万元，完成年初预算的100.23%，决算数大于预算数的主要原因是行政人员年终综合考核奖追加。</w:t>
      </w:r>
    </w:p>
    <w:p>
      <w:pPr>
        <w:spacing w:line="360" w:lineRule="auto"/>
        <w:ind w:firstLine="640" w:firstLineChars="200"/>
        <w:rPr>
          <w:sz w:val="32"/>
          <w:szCs w:val="32"/>
        </w:rPr>
      </w:pPr>
      <w:r>
        <w:rPr>
          <w:rFonts w:hint="eastAsia"/>
          <w:sz w:val="32"/>
          <w:szCs w:val="32"/>
        </w:rPr>
        <w:t>一般公共服务支出（类）人力资源事务（款）一般行政管理事务（项）。年初预算为25.00万元，支出决算为6.56万元，完成年初预算的26.24%，决算数小于预算数的主要原因9月份财务撤并。</w:t>
      </w:r>
    </w:p>
    <w:p>
      <w:pPr>
        <w:spacing w:line="360" w:lineRule="auto"/>
        <w:ind w:firstLine="640" w:firstLineChars="200"/>
        <w:rPr>
          <w:sz w:val="32"/>
          <w:szCs w:val="32"/>
        </w:rPr>
      </w:pPr>
      <w:r>
        <w:rPr>
          <w:rFonts w:hint="eastAsia"/>
          <w:sz w:val="32"/>
          <w:szCs w:val="32"/>
        </w:rPr>
        <w:t>一般公共服务支出（类）人力资源事务（款）其他人力资源事务支出（项）。年初预算为3.00万元，支出决算为0.38万元，完成年初预算的12.67%，决算数小于预算数的主要原因9月份财务撤并。</w:t>
      </w:r>
    </w:p>
    <w:p>
      <w:pPr>
        <w:spacing w:line="360" w:lineRule="auto"/>
        <w:ind w:firstLine="640" w:firstLineChars="200"/>
        <w:rPr>
          <w:sz w:val="32"/>
          <w:szCs w:val="32"/>
        </w:rPr>
      </w:pPr>
      <w:r>
        <w:rPr>
          <w:rFonts w:hint="eastAsia"/>
          <w:sz w:val="32"/>
          <w:szCs w:val="32"/>
        </w:rPr>
        <w:t>社会保障和就业支出（类）行政事业单位离退休（款）机关事业单位基本养老保险缴费支出（项）。年初预算为4.59万元，支出决算3.04万元，完成年初预算的66.23%，决算数小于预算数的主要原因9月份财务撤并。</w:t>
      </w:r>
    </w:p>
    <w:p>
      <w:pPr>
        <w:spacing w:line="360" w:lineRule="auto"/>
        <w:ind w:firstLine="640" w:firstLineChars="200"/>
        <w:rPr>
          <w:sz w:val="32"/>
          <w:szCs w:val="32"/>
        </w:rPr>
      </w:pPr>
      <w:r>
        <w:rPr>
          <w:rFonts w:hint="eastAsia"/>
          <w:sz w:val="32"/>
          <w:szCs w:val="32"/>
        </w:rPr>
        <w:t>社会保障和就业支出（类）行政事业单位离退休（款）机关事业单位职业年金缴费支出（项）。年初预算为2.30万元，支出决算1.52万元，完成年初预算的66.09%，决算数小于预算数的主要原因9月份财务撤并。</w:t>
      </w:r>
    </w:p>
    <w:p>
      <w:pPr>
        <w:spacing w:line="360" w:lineRule="auto"/>
        <w:ind w:firstLine="640" w:firstLineChars="200"/>
        <w:rPr>
          <w:sz w:val="32"/>
          <w:szCs w:val="32"/>
        </w:rPr>
      </w:pPr>
      <w:r>
        <w:rPr>
          <w:rFonts w:hint="eastAsia"/>
          <w:sz w:val="32"/>
          <w:szCs w:val="32"/>
        </w:rPr>
        <w:t>医疗卫生与计划生育支出（类）行政事业单位医疗（款）行政单位医疗（项）。年初预算为4.25万元，支出决算2.91万元，完成年初预算的68.47%，决算数小于预算数的主要原因9月份财务撤并。</w:t>
      </w:r>
    </w:p>
    <w:p>
      <w:pPr>
        <w:spacing w:line="360" w:lineRule="auto"/>
        <w:ind w:firstLine="640" w:firstLineChars="200"/>
        <w:rPr>
          <w:sz w:val="32"/>
          <w:szCs w:val="32"/>
        </w:rPr>
      </w:pPr>
      <w:r>
        <w:rPr>
          <w:rFonts w:hint="eastAsia"/>
          <w:sz w:val="32"/>
          <w:szCs w:val="32"/>
        </w:rPr>
        <w:t>住房保障支出（类）住房改革支出（款）住房公积金（项）。年初预算为5.41万元，支出决算4.57万元，完成年初预算的84.47%，决算数小于预算数的主要原因9月份财务撤并。</w:t>
      </w:r>
    </w:p>
    <w:p>
      <w:pPr>
        <w:spacing w:line="360" w:lineRule="auto"/>
        <w:ind w:firstLine="640" w:firstLineChars="200"/>
        <w:rPr>
          <w:sz w:val="32"/>
          <w:szCs w:val="32"/>
        </w:rPr>
      </w:pPr>
      <w:r>
        <w:rPr>
          <w:rFonts w:hint="eastAsia"/>
          <w:sz w:val="32"/>
          <w:szCs w:val="32"/>
        </w:rPr>
        <w:t>（六）一般公共预算财政拨款基本支出决算情况说明</w:t>
      </w:r>
    </w:p>
    <w:p>
      <w:pPr>
        <w:spacing w:line="360" w:lineRule="auto"/>
        <w:ind w:firstLine="640" w:firstLineChars="200"/>
        <w:rPr>
          <w:sz w:val="32"/>
          <w:szCs w:val="32"/>
        </w:rPr>
      </w:pPr>
      <w:r>
        <w:rPr>
          <w:rFonts w:hint="eastAsia"/>
          <w:sz w:val="32"/>
          <w:szCs w:val="32"/>
        </w:rPr>
        <w:t>2020年度一般公共预算财政拨款基本支出64.51万元，其中：</w:t>
      </w:r>
    </w:p>
    <w:p>
      <w:pPr>
        <w:spacing w:line="360" w:lineRule="auto"/>
        <w:ind w:firstLine="640" w:firstLineChars="200"/>
        <w:rPr>
          <w:sz w:val="32"/>
          <w:szCs w:val="32"/>
        </w:rPr>
      </w:pPr>
      <w:r>
        <w:rPr>
          <w:rFonts w:hint="eastAsia"/>
          <w:sz w:val="32"/>
          <w:szCs w:val="32"/>
        </w:rPr>
        <w:t>人员经费61.77万元，主要包括：基本工资、津贴补贴、奖金、  伙食补助费、  机关事业单位基本养老保险缴费、职业年金缴费、职工基本医疗保险缴费、公务员医疗补助缴费、其他社会保障缴费、住房公积金、其他工资福利支出。</w:t>
      </w:r>
    </w:p>
    <w:p>
      <w:pPr>
        <w:spacing w:line="360" w:lineRule="auto"/>
        <w:ind w:firstLine="640" w:firstLineChars="200"/>
        <w:rPr>
          <w:sz w:val="32"/>
          <w:szCs w:val="32"/>
        </w:rPr>
      </w:pPr>
      <w:r>
        <w:rPr>
          <w:rFonts w:hint="eastAsia"/>
          <w:sz w:val="32"/>
          <w:szCs w:val="32"/>
        </w:rPr>
        <w:t>公用经费2.74万元，主要包括：公务接待费、福利费、其他交通费用、其他商品和服务支出。</w:t>
      </w:r>
    </w:p>
    <w:p>
      <w:pPr>
        <w:numPr>
          <w:ilvl w:val="0"/>
          <w:numId w:val="1"/>
        </w:numPr>
        <w:spacing w:line="324" w:lineRule="auto"/>
        <w:ind w:firstLine="594"/>
        <w:outlineLvl w:val="1"/>
        <w:rPr>
          <w:rFonts w:ascii="楷体" w:hAnsi="楷体" w:eastAsia="楷体"/>
          <w:b/>
          <w:sz w:val="32"/>
        </w:rPr>
      </w:pPr>
      <w:bookmarkStart w:id="0" w:name="_Toc15954_WPSOffice_Level2"/>
      <w:r>
        <w:rPr>
          <w:rFonts w:hint="eastAsia" w:ascii="楷体" w:hAnsi="楷体" w:eastAsia="楷体"/>
          <w:b/>
          <w:sz w:val="32"/>
        </w:rPr>
        <w:t>政府性基金预算财政拨款支出</w:t>
      </w:r>
      <w:r>
        <w:rPr>
          <w:rFonts w:hint="eastAsia" w:ascii="楷体" w:hAnsi="楷体" w:eastAsia="楷体"/>
          <w:b/>
          <w:sz w:val="32"/>
          <w:lang w:val="zh-CN"/>
        </w:rPr>
        <w:t>决算</w:t>
      </w:r>
      <w:r>
        <w:rPr>
          <w:rFonts w:hint="eastAsia" w:ascii="楷体" w:hAnsi="楷体" w:eastAsia="楷体"/>
          <w:b/>
          <w:sz w:val="32"/>
        </w:rPr>
        <w:t>总体情况说明</w:t>
      </w:r>
      <w:bookmarkEnd w:id="0"/>
    </w:p>
    <w:p>
      <w:pPr>
        <w:spacing w:line="324" w:lineRule="auto"/>
        <w:ind w:firstLine="640" w:firstLineChars="200"/>
        <w:rPr>
          <w:rFonts w:ascii="仿宋" w:hAnsi="仿宋" w:eastAsia="仿宋"/>
          <w:b/>
          <w:sz w:val="32"/>
        </w:rPr>
      </w:pPr>
      <w:r>
        <w:rPr>
          <w:rFonts w:hint="eastAsia" w:ascii="仿宋" w:hAnsi="仿宋" w:eastAsia="仿宋"/>
          <w:sz w:val="32"/>
        </w:rPr>
        <w:t>本单位2020年度无政府性基金预算财政拨款收支安排，故无相关数据。</w:t>
      </w:r>
    </w:p>
    <w:p>
      <w:pPr>
        <w:spacing w:line="324" w:lineRule="auto"/>
        <w:ind w:firstLine="606"/>
        <w:rPr>
          <w:rFonts w:ascii="仿宋" w:hAnsi="仿宋" w:eastAsia="仿宋"/>
          <w:sz w:val="32"/>
        </w:rPr>
      </w:pPr>
      <w:r>
        <w:rPr>
          <w:rFonts w:hint="eastAsia" w:ascii="仿宋" w:hAnsi="仿宋" w:eastAsia="仿宋"/>
          <w:b/>
          <w:sz w:val="32"/>
        </w:rPr>
        <w:t>1.政府性基金预算财政拨款支出决算总体情况。</w:t>
      </w:r>
    </w:p>
    <w:p>
      <w:pPr>
        <w:spacing w:line="324" w:lineRule="auto"/>
        <w:ind w:firstLine="606"/>
        <w:rPr>
          <w:rFonts w:ascii="仿宋_GB2312" w:hAnsi="仿宋_GB2312" w:eastAsia="仿宋_GB2312"/>
          <w:b/>
          <w:sz w:val="32"/>
        </w:rPr>
      </w:pPr>
      <w:r>
        <w:rPr>
          <w:rFonts w:hint="eastAsia" w:ascii="仿宋" w:hAnsi="仿宋" w:eastAsia="仿宋"/>
          <w:sz w:val="32"/>
        </w:rPr>
        <w:t>2020年度政府性基金预算财政拨款支出0万元，占本年支出合计的0%。与2019年相比，政府性基金预算财政拨款支出增加0万元，与上一年持平，增长0%。主要原因是：2020年度无政府性基金预算财政拨款支出。</w:t>
      </w:r>
    </w:p>
    <w:p>
      <w:pPr>
        <w:spacing w:line="324" w:lineRule="auto"/>
        <w:ind w:firstLine="606"/>
        <w:rPr>
          <w:rFonts w:ascii="仿宋" w:hAnsi="仿宋" w:eastAsia="仿宋"/>
          <w:sz w:val="32"/>
        </w:rPr>
      </w:pPr>
      <w:r>
        <w:rPr>
          <w:rFonts w:hint="eastAsia" w:ascii="仿宋" w:hAnsi="仿宋" w:eastAsia="仿宋"/>
          <w:b/>
          <w:sz w:val="32"/>
        </w:rPr>
        <w:t>2.政府性基金预算财政拨款支出决算结构情况。</w:t>
      </w:r>
    </w:p>
    <w:p>
      <w:pPr>
        <w:spacing w:line="324" w:lineRule="auto"/>
        <w:ind w:firstLine="606"/>
        <w:rPr>
          <w:rFonts w:ascii="仿宋" w:hAnsi="仿宋" w:eastAsia="仿宋"/>
          <w:b/>
          <w:sz w:val="32"/>
        </w:rPr>
      </w:pPr>
      <w:r>
        <w:rPr>
          <w:rFonts w:hint="eastAsia" w:ascii="仿宋" w:hAnsi="仿宋" w:eastAsia="仿宋"/>
          <w:sz w:val="32"/>
        </w:rPr>
        <w:t>2020年度政府性基金预算财政拨款支出0万元，主要用于以下方面：科学技术（类）支出</w:t>
      </w:r>
      <w:r>
        <w:rPr>
          <w:rFonts w:hint="eastAsia" w:ascii="仿宋" w:hAnsi="仿宋" w:eastAsia="仿宋"/>
          <w:sz w:val="30"/>
          <w:lang w:val="zh-CN"/>
        </w:rPr>
        <w:t>0</w:t>
      </w:r>
      <w:r>
        <w:rPr>
          <w:rFonts w:hint="eastAsia" w:ascii="仿宋" w:hAnsi="仿宋" w:eastAsia="仿宋"/>
          <w:sz w:val="32"/>
        </w:rPr>
        <w:t>万元,占0%；文化旅游体育与传媒（类）支出</w:t>
      </w:r>
      <w:r>
        <w:rPr>
          <w:rFonts w:hint="eastAsia" w:ascii="仿宋" w:hAnsi="仿宋" w:eastAsia="仿宋"/>
          <w:sz w:val="30"/>
          <w:lang w:val="zh-CN"/>
        </w:rPr>
        <w:t>0</w:t>
      </w:r>
      <w:r>
        <w:rPr>
          <w:rFonts w:hint="eastAsia" w:ascii="仿宋" w:hAnsi="仿宋" w:eastAsia="仿宋"/>
          <w:sz w:val="32"/>
        </w:rPr>
        <w:t>万元,占0%；社会保障和就业（类）支出</w:t>
      </w:r>
      <w:r>
        <w:rPr>
          <w:rFonts w:hint="eastAsia" w:ascii="仿宋" w:hAnsi="仿宋" w:eastAsia="仿宋"/>
          <w:sz w:val="30"/>
          <w:lang w:val="zh-CN"/>
        </w:rPr>
        <w:t>0</w:t>
      </w:r>
      <w:r>
        <w:rPr>
          <w:rFonts w:hint="eastAsia" w:ascii="仿宋" w:hAnsi="仿宋" w:eastAsia="仿宋"/>
          <w:sz w:val="32"/>
        </w:rPr>
        <w:t>万元,占0%；节能环保（类）支出</w:t>
      </w:r>
      <w:r>
        <w:rPr>
          <w:rFonts w:hint="eastAsia" w:ascii="仿宋" w:hAnsi="仿宋" w:eastAsia="仿宋"/>
          <w:sz w:val="30"/>
          <w:lang w:val="zh-CN"/>
        </w:rPr>
        <w:t>0</w:t>
      </w:r>
      <w:r>
        <w:rPr>
          <w:rFonts w:hint="eastAsia" w:ascii="仿宋" w:hAnsi="仿宋" w:eastAsia="仿宋"/>
          <w:sz w:val="32"/>
        </w:rPr>
        <w:t>万元,占0%；城乡社区（类）支出</w:t>
      </w:r>
      <w:r>
        <w:rPr>
          <w:rFonts w:hint="eastAsia" w:ascii="仿宋" w:hAnsi="仿宋" w:eastAsia="仿宋"/>
          <w:sz w:val="30"/>
          <w:lang w:val="zh-CN"/>
        </w:rPr>
        <w:t>0</w:t>
      </w:r>
      <w:r>
        <w:rPr>
          <w:rFonts w:hint="eastAsia" w:ascii="仿宋" w:hAnsi="仿宋" w:eastAsia="仿宋"/>
          <w:sz w:val="32"/>
        </w:rPr>
        <w:t>万元,占0%；农林水（类）支出</w:t>
      </w:r>
      <w:r>
        <w:rPr>
          <w:rFonts w:hint="eastAsia" w:ascii="仿宋" w:hAnsi="仿宋" w:eastAsia="仿宋"/>
          <w:sz w:val="30"/>
          <w:lang w:val="zh-CN"/>
        </w:rPr>
        <w:t>0</w:t>
      </w:r>
      <w:r>
        <w:rPr>
          <w:rFonts w:hint="eastAsia" w:ascii="仿宋" w:hAnsi="仿宋" w:eastAsia="仿宋"/>
          <w:sz w:val="32"/>
        </w:rPr>
        <w:t>万元,占0%；交通运输（类）支出</w:t>
      </w:r>
      <w:r>
        <w:rPr>
          <w:rFonts w:hint="eastAsia" w:ascii="仿宋" w:hAnsi="仿宋" w:eastAsia="仿宋"/>
          <w:sz w:val="30"/>
          <w:lang w:val="zh-CN"/>
        </w:rPr>
        <w:t>0</w:t>
      </w:r>
      <w:r>
        <w:rPr>
          <w:rFonts w:hint="eastAsia" w:ascii="仿宋" w:hAnsi="仿宋" w:eastAsia="仿宋"/>
          <w:sz w:val="32"/>
        </w:rPr>
        <w:t>万元,占0%；资源勘探信息等（类）支出</w:t>
      </w:r>
      <w:r>
        <w:rPr>
          <w:rFonts w:hint="eastAsia" w:ascii="仿宋" w:hAnsi="仿宋" w:eastAsia="仿宋"/>
          <w:sz w:val="30"/>
          <w:lang w:val="zh-CN"/>
        </w:rPr>
        <w:t>0</w:t>
      </w:r>
      <w:r>
        <w:rPr>
          <w:rFonts w:hint="eastAsia" w:ascii="仿宋" w:hAnsi="仿宋" w:eastAsia="仿宋"/>
          <w:sz w:val="32"/>
        </w:rPr>
        <w:t>万元,占0%；金融（类）支出</w:t>
      </w:r>
      <w:r>
        <w:rPr>
          <w:rFonts w:hint="eastAsia" w:ascii="仿宋" w:hAnsi="仿宋" w:eastAsia="仿宋"/>
          <w:sz w:val="30"/>
          <w:lang w:val="zh-CN"/>
        </w:rPr>
        <w:t>0</w:t>
      </w:r>
      <w:r>
        <w:rPr>
          <w:rFonts w:hint="eastAsia" w:ascii="仿宋" w:hAnsi="仿宋" w:eastAsia="仿宋"/>
          <w:sz w:val="32"/>
        </w:rPr>
        <w:t>万元,占0%；其他（类）支出</w:t>
      </w:r>
      <w:r>
        <w:rPr>
          <w:rFonts w:hint="eastAsia" w:ascii="仿宋" w:hAnsi="仿宋" w:eastAsia="仿宋"/>
          <w:sz w:val="30"/>
          <w:lang w:val="zh-CN"/>
        </w:rPr>
        <w:t>0</w:t>
      </w:r>
      <w:r>
        <w:rPr>
          <w:rFonts w:hint="eastAsia" w:ascii="仿宋" w:hAnsi="仿宋" w:eastAsia="仿宋"/>
          <w:sz w:val="32"/>
        </w:rPr>
        <w:t>万元,占0%；债务付息（类）支出</w:t>
      </w:r>
      <w:r>
        <w:rPr>
          <w:rFonts w:hint="eastAsia" w:ascii="仿宋" w:hAnsi="仿宋" w:eastAsia="仿宋"/>
          <w:sz w:val="30"/>
          <w:lang w:val="zh-CN"/>
        </w:rPr>
        <w:t>0</w:t>
      </w:r>
      <w:r>
        <w:rPr>
          <w:rFonts w:hint="eastAsia" w:ascii="仿宋" w:hAnsi="仿宋" w:eastAsia="仿宋"/>
          <w:sz w:val="32"/>
        </w:rPr>
        <w:t>万元,占0%；抗疫特别国债安排（类）支出</w:t>
      </w:r>
      <w:r>
        <w:rPr>
          <w:rFonts w:hint="eastAsia" w:ascii="仿宋" w:hAnsi="仿宋" w:eastAsia="仿宋"/>
          <w:sz w:val="30"/>
          <w:lang w:val="zh-CN"/>
        </w:rPr>
        <w:t>0</w:t>
      </w:r>
      <w:r>
        <w:rPr>
          <w:rFonts w:hint="eastAsia" w:ascii="仿宋" w:hAnsi="仿宋" w:eastAsia="仿宋"/>
          <w:sz w:val="32"/>
        </w:rPr>
        <w:t>万元,占0%。</w:t>
      </w:r>
    </w:p>
    <w:p>
      <w:pPr>
        <w:spacing w:line="324" w:lineRule="auto"/>
        <w:ind w:firstLine="594"/>
        <w:rPr>
          <w:rFonts w:ascii="仿宋" w:hAnsi="仿宋" w:eastAsia="仿宋"/>
          <w:sz w:val="32"/>
        </w:rPr>
      </w:pPr>
      <w:r>
        <w:rPr>
          <w:rFonts w:hint="eastAsia" w:ascii="仿宋" w:hAnsi="仿宋" w:eastAsia="仿宋"/>
          <w:b/>
          <w:sz w:val="32"/>
        </w:rPr>
        <w:t>3.政府性基金预算财政拨款支出决算具体情况。</w:t>
      </w:r>
    </w:p>
    <w:p>
      <w:pPr>
        <w:spacing w:line="324" w:lineRule="auto"/>
        <w:ind w:firstLine="594"/>
        <w:rPr>
          <w:rFonts w:ascii="仿宋" w:hAnsi="仿宋" w:eastAsia="仿宋"/>
          <w:sz w:val="32"/>
        </w:rPr>
      </w:pPr>
      <w:r>
        <w:rPr>
          <w:rFonts w:hint="eastAsia" w:ascii="仿宋" w:hAnsi="仿宋" w:eastAsia="仿宋"/>
          <w:sz w:val="32"/>
        </w:rPr>
        <w:t>2020年度政府性基金预算财政拨款支出年初预算为0万元，支出决算为0万元,完成年初预算的0%，主要原因是2020年度无政府性基金预算财政拨款。</w:t>
      </w:r>
    </w:p>
    <w:p>
      <w:pPr>
        <w:numPr>
          <w:ilvl w:val="0"/>
          <w:numId w:val="1"/>
        </w:numPr>
        <w:spacing w:line="324" w:lineRule="auto"/>
        <w:ind w:firstLine="594"/>
        <w:outlineLvl w:val="1"/>
        <w:rPr>
          <w:rFonts w:ascii="楷体" w:hAnsi="楷体" w:eastAsia="楷体"/>
          <w:b/>
          <w:sz w:val="32"/>
        </w:rPr>
      </w:pPr>
      <w:bookmarkStart w:id="1" w:name="_Toc10047_WPSOffice_Level2"/>
      <w:r>
        <w:rPr>
          <w:rFonts w:hint="eastAsia" w:ascii="楷体" w:hAnsi="楷体" w:eastAsia="楷体"/>
          <w:b/>
          <w:sz w:val="32"/>
        </w:rPr>
        <w:t>国有资本经营预算财政拨款支出</w:t>
      </w:r>
      <w:r>
        <w:rPr>
          <w:rFonts w:hint="eastAsia" w:ascii="楷体" w:hAnsi="楷体" w:eastAsia="楷体"/>
          <w:b/>
          <w:sz w:val="32"/>
          <w:lang w:val="zh-CN"/>
        </w:rPr>
        <w:t>决算</w:t>
      </w:r>
      <w:r>
        <w:rPr>
          <w:rFonts w:hint="eastAsia" w:ascii="楷体" w:hAnsi="楷体" w:eastAsia="楷体"/>
          <w:b/>
          <w:sz w:val="32"/>
        </w:rPr>
        <w:t>总体情况说明</w:t>
      </w:r>
      <w:bookmarkEnd w:id="1"/>
    </w:p>
    <w:p>
      <w:pPr>
        <w:spacing w:line="324" w:lineRule="auto"/>
        <w:ind w:firstLine="640" w:firstLineChars="200"/>
        <w:rPr>
          <w:rFonts w:ascii="仿宋" w:hAnsi="仿宋" w:eastAsia="仿宋"/>
          <w:b/>
          <w:sz w:val="32"/>
        </w:rPr>
      </w:pPr>
      <w:r>
        <w:rPr>
          <w:rFonts w:hint="eastAsia" w:ascii="仿宋" w:hAnsi="仿宋" w:eastAsia="仿宋"/>
          <w:sz w:val="32"/>
        </w:rPr>
        <w:t>本单位2020年度无国有资本经营预算财政拨款收支安排，故无相关数据。</w:t>
      </w:r>
    </w:p>
    <w:p>
      <w:pPr>
        <w:spacing w:line="324" w:lineRule="auto"/>
        <w:ind w:firstLine="606"/>
        <w:rPr>
          <w:rFonts w:ascii="仿宋" w:hAnsi="仿宋" w:eastAsia="仿宋"/>
          <w:sz w:val="32"/>
        </w:rPr>
      </w:pPr>
      <w:r>
        <w:rPr>
          <w:rFonts w:hint="eastAsia" w:ascii="仿宋" w:hAnsi="仿宋" w:eastAsia="仿宋"/>
          <w:b/>
          <w:sz w:val="32"/>
        </w:rPr>
        <w:t>1.国有资本经营预算财政拨款支出决算总体情况。</w:t>
      </w:r>
    </w:p>
    <w:p>
      <w:pPr>
        <w:spacing w:line="324" w:lineRule="auto"/>
        <w:ind w:firstLine="606"/>
        <w:rPr>
          <w:rFonts w:ascii="仿宋_GB2312" w:hAnsi="仿宋_GB2312" w:eastAsia="仿宋_GB2312"/>
          <w:b/>
          <w:sz w:val="32"/>
        </w:rPr>
      </w:pPr>
      <w:r>
        <w:rPr>
          <w:rFonts w:hint="eastAsia" w:ascii="仿宋" w:hAnsi="仿宋" w:eastAsia="仿宋"/>
          <w:sz w:val="32"/>
        </w:rPr>
        <w:t>2020年度国有资本经营预算财政拨款支出0万元，占本年支出合计的0%。</w:t>
      </w:r>
    </w:p>
    <w:p>
      <w:pPr>
        <w:spacing w:line="324" w:lineRule="auto"/>
        <w:ind w:firstLine="606"/>
        <w:rPr>
          <w:rFonts w:ascii="仿宋" w:hAnsi="仿宋" w:eastAsia="仿宋"/>
          <w:sz w:val="32"/>
        </w:rPr>
      </w:pPr>
      <w:r>
        <w:rPr>
          <w:rFonts w:hint="eastAsia" w:ascii="仿宋" w:hAnsi="仿宋" w:eastAsia="仿宋"/>
          <w:b/>
          <w:sz w:val="32"/>
        </w:rPr>
        <w:t>2.国有资本经营预算财政拨款支出决算结构情况。</w:t>
      </w:r>
    </w:p>
    <w:p>
      <w:pPr>
        <w:spacing w:line="324" w:lineRule="auto"/>
        <w:ind w:firstLine="606"/>
        <w:rPr>
          <w:rFonts w:ascii="仿宋" w:hAnsi="仿宋" w:eastAsia="仿宋"/>
          <w:b/>
          <w:sz w:val="32"/>
        </w:rPr>
      </w:pPr>
      <w:r>
        <w:rPr>
          <w:rFonts w:hint="eastAsia" w:ascii="仿宋" w:hAnsi="仿宋" w:eastAsia="仿宋"/>
          <w:sz w:val="32"/>
        </w:rPr>
        <w:t>2020年度国有资本经营预算财政拨款支出0万元，主要用于以下方面：国有资本经营（类）支出</w:t>
      </w:r>
      <w:r>
        <w:rPr>
          <w:rFonts w:hint="eastAsia" w:ascii="仿宋" w:hAnsi="仿宋" w:eastAsia="仿宋"/>
          <w:sz w:val="30"/>
          <w:lang w:val="zh-CN"/>
        </w:rPr>
        <w:t>0</w:t>
      </w:r>
      <w:r>
        <w:rPr>
          <w:rFonts w:hint="eastAsia" w:ascii="仿宋" w:hAnsi="仿宋" w:eastAsia="仿宋"/>
          <w:sz w:val="32"/>
        </w:rPr>
        <w:t>万元,占0%。</w:t>
      </w:r>
    </w:p>
    <w:p>
      <w:pPr>
        <w:spacing w:line="324" w:lineRule="auto"/>
        <w:ind w:firstLine="594"/>
        <w:rPr>
          <w:rFonts w:ascii="仿宋" w:hAnsi="仿宋" w:eastAsia="仿宋"/>
          <w:sz w:val="32"/>
        </w:rPr>
      </w:pPr>
      <w:r>
        <w:rPr>
          <w:rFonts w:hint="eastAsia" w:ascii="仿宋" w:hAnsi="仿宋" w:eastAsia="仿宋"/>
          <w:b/>
          <w:sz w:val="32"/>
        </w:rPr>
        <w:t>3.国有资本经营预算财政拨款支出决算具体情况。</w:t>
      </w:r>
    </w:p>
    <w:p>
      <w:pPr>
        <w:spacing w:line="360" w:lineRule="auto"/>
        <w:ind w:firstLine="640" w:firstLineChars="200"/>
        <w:rPr>
          <w:sz w:val="32"/>
          <w:szCs w:val="32"/>
        </w:rPr>
      </w:pPr>
      <w:r>
        <w:rPr>
          <w:rFonts w:hint="eastAsia" w:ascii="仿宋" w:hAnsi="仿宋" w:eastAsia="仿宋"/>
          <w:sz w:val="32"/>
        </w:rPr>
        <w:t>2020年度国有资本经营预算财政拨款支出年初预算为0万元，支出决算为0万元,完成年初预算的0%，主要原因是2020年度无国有资本经营预算财政拨款支出。</w:t>
      </w:r>
    </w:p>
    <w:p>
      <w:pPr>
        <w:spacing w:line="360" w:lineRule="auto"/>
        <w:ind w:firstLine="643" w:firstLineChars="200"/>
        <w:rPr>
          <w:rFonts w:ascii="楷体" w:hAnsi="楷体" w:eastAsia="楷体"/>
          <w:b/>
          <w:sz w:val="32"/>
        </w:rPr>
      </w:pPr>
      <w:r>
        <w:rPr>
          <w:rFonts w:hint="eastAsia" w:ascii="楷体" w:hAnsi="楷体" w:eastAsia="楷体"/>
          <w:b/>
          <w:sz w:val="32"/>
        </w:rPr>
        <w:t>（九）一般公共预算财政拨款“三公”经费支出决算情况说明</w:t>
      </w:r>
    </w:p>
    <w:p>
      <w:pPr>
        <w:spacing w:line="360" w:lineRule="auto"/>
        <w:ind w:firstLine="643" w:firstLineChars="200"/>
        <w:rPr>
          <w:sz w:val="32"/>
          <w:szCs w:val="32"/>
        </w:rPr>
      </w:pPr>
      <w:r>
        <w:rPr>
          <w:rFonts w:hint="eastAsia" w:ascii="仿宋" w:hAnsi="仿宋" w:eastAsia="仿宋"/>
          <w:b/>
          <w:sz w:val="32"/>
        </w:rPr>
        <w:t>1.“三公”经费一般公共预算财政拨款支出决算总体情况说明。</w:t>
      </w:r>
      <w:r>
        <w:rPr>
          <w:rFonts w:hint="eastAsia"/>
          <w:sz w:val="32"/>
          <w:szCs w:val="32"/>
        </w:rPr>
        <w:t xml:space="preserve"> </w:t>
      </w:r>
    </w:p>
    <w:p>
      <w:pPr>
        <w:spacing w:line="360" w:lineRule="auto"/>
        <w:ind w:firstLine="640" w:firstLineChars="200"/>
        <w:rPr>
          <w:rFonts w:ascii="仿宋" w:hAnsi="仿宋" w:eastAsia="仿宋"/>
          <w:sz w:val="32"/>
        </w:rPr>
      </w:pPr>
      <w:r>
        <w:rPr>
          <w:rFonts w:hint="eastAsia" w:ascii="仿宋" w:hAnsi="仿宋" w:eastAsia="仿宋"/>
          <w:sz w:val="32"/>
        </w:rPr>
        <w:t>2020年度“三公”经费一般公共预算财政拨款支出预算为0.12万元，支出决算为0.1万元，完成预算的83.33%,2020年度“三公”经费支出决算数基本等于预算数。</w:t>
      </w:r>
    </w:p>
    <w:p>
      <w:pPr>
        <w:spacing w:line="360" w:lineRule="auto"/>
        <w:ind w:firstLine="643" w:firstLineChars="200"/>
        <w:rPr>
          <w:sz w:val="32"/>
          <w:szCs w:val="32"/>
        </w:rPr>
      </w:pPr>
      <w:r>
        <w:rPr>
          <w:rFonts w:hint="eastAsia" w:ascii="仿宋" w:hAnsi="仿宋" w:eastAsia="仿宋"/>
          <w:b/>
          <w:sz w:val="32"/>
        </w:rPr>
        <w:t>2.“三公”经费一般公共预算财政拨款支出决算具体情况说明。</w:t>
      </w:r>
    </w:p>
    <w:p>
      <w:pPr>
        <w:spacing w:line="360" w:lineRule="auto"/>
        <w:ind w:firstLine="640" w:firstLineChars="200"/>
        <w:rPr>
          <w:rFonts w:ascii="仿宋" w:hAnsi="仿宋" w:eastAsia="仿宋"/>
          <w:sz w:val="32"/>
        </w:rPr>
      </w:pPr>
      <w:r>
        <w:rPr>
          <w:rFonts w:hint="eastAsia" w:ascii="仿宋" w:hAnsi="仿宋" w:eastAsia="仿宋"/>
          <w:sz w:val="32"/>
        </w:rPr>
        <w:t>2020年度“三公”经费一般公共预算财政拨款支出决算中，因公出国（境）费用支出决算为0万元，占0%，与2019年度相比，增加0万元，增长0%，主要原因是无因公出国（境）；公务用车购置及运行维护费支出决算为0万元，占0%，与2019年度相比，增加0万元，增长0%，主要原因是无公务用车购置及运行维护费；公务接待费支出决算为0.1万元，占100%，与2019年度相比，</w:t>
      </w:r>
      <w:r>
        <w:rPr>
          <w:rFonts w:hint="eastAsia" w:ascii="仿宋" w:hAnsi="仿宋" w:eastAsia="仿宋"/>
          <w:sz w:val="32"/>
          <w:lang w:eastAsia="zh-CN"/>
        </w:rPr>
        <w:t>减少</w:t>
      </w:r>
      <w:r>
        <w:rPr>
          <w:rFonts w:hint="eastAsia" w:ascii="仿宋" w:hAnsi="仿宋" w:eastAsia="仿宋"/>
          <w:sz w:val="32"/>
          <w:lang w:val="en-US" w:eastAsia="zh-CN"/>
        </w:rPr>
        <w:t>0.02</w:t>
      </w:r>
      <w:r>
        <w:rPr>
          <w:rFonts w:hint="eastAsia" w:ascii="仿宋" w:hAnsi="仿宋" w:eastAsia="仿宋"/>
          <w:sz w:val="32"/>
        </w:rPr>
        <w:t>万元，</w:t>
      </w:r>
      <w:r>
        <w:rPr>
          <w:rFonts w:hint="eastAsia" w:ascii="仿宋" w:hAnsi="仿宋" w:eastAsia="仿宋"/>
          <w:sz w:val="32"/>
          <w:lang w:eastAsia="zh-CN"/>
        </w:rPr>
        <w:t>下降</w:t>
      </w:r>
      <w:r>
        <w:rPr>
          <w:rFonts w:hint="eastAsia" w:ascii="仿宋" w:hAnsi="仿宋" w:eastAsia="仿宋"/>
          <w:sz w:val="32"/>
          <w:lang w:val="en-US" w:eastAsia="zh-CN"/>
        </w:rPr>
        <w:t>16.67</w:t>
      </w:r>
      <w:r>
        <w:rPr>
          <w:rFonts w:hint="eastAsia" w:ascii="仿宋" w:hAnsi="仿宋" w:eastAsia="仿宋"/>
          <w:sz w:val="32"/>
        </w:rPr>
        <w:t>%，主要原因是</w:t>
      </w:r>
      <w:bookmarkStart w:id="2" w:name="_GoBack"/>
      <w:bookmarkEnd w:id="2"/>
      <w:r>
        <w:rPr>
          <w:rFonts w:hint="eastAsia"/>
          <w:sz w:val="32"/>
          <w:szCs w:val="32"/>
        </w:rPr>
        <w:t>疫情期间，接待费下降</w:t>
      </w:r>
      <w:r>
        <w:rPr>
          <w:rFonts w:hint="eastAsia" w:ascii="仿宋" w:hAnsi="仿宋" w:eastAsia="仿宋"/>
          <w:sz w:val="32"/>
          <w:lang w:eastAsia="zh-CN"/>
        </w:rPr>
        <w:t>。</w:t>
      </w:r>
      <w:r>
        <w:rPr>
          <w:rFonts w:hint="eastAsia" w:ascii="仿宋" w:hAnsi="仿宋" w:eastAsia="仿宋"/>
          <w:sz w:val="32"/>
        </w:rPr>
        <w:t>具体情况如下：</w:t>
      </w:r>
    </w:p>
    <w:p>
      <w:pPr>
        <w:spacing w:line="360" w:lineRule="auto"/>
        <w:ind w:firstLine="643" w:firstLineChars="200"/>
        <w:rPr>
          <w:rFonts w:ascii="仿宋" w:hAnsi="仿宋" w:eastAsia="仿宋"/>
          <w:sz w:val="32"/>
        </w:rPr>
      </w:pPr>
      <w:r>
        <w:rPr>
          <w:rFonts w:hint="eastAsia" w:ascii="仿宋" w:hAnsi="仿宋" w:eastAsia="仿宋"/>
          <w:b/>
          <w:sz w:val="32"/>
        </w:rPr>
        <w:t>（1）因公出国（境）费</w:t>
      </w:r>
      <w:r>
        <w:rPr>
          <w:rFonts w:hint="eastAsia" w:ascii="仿宋" w:hAnsi="仿宋" w:eastAsia="仿宋"/>
          <w:sz w:val="32"/>
        </w:rPr>
        <w:t>预算数为0万元，支出决算为0万元。完成预算的0%。主要用于机关及下属预算单位人员的公务出国（境）的住宿费、国际旅费、培训费、公杂费等支出。决算数等于预算数的主要原因是未安排人员出国（境）。全年使用一般公共预算财政拨款支出涉及因公出国(境)团组0个；累计0人次。开支内容包括：无。</w:t>
      </w:r>
    </w:p>
    <w:p>
      <w:pPr>
        <w:spacing w:line="360" w:lineRule="auto"/>
        <w:ind w:firstLine="643" w:firstLineChars="200"/>
        <w:rPr>
          <w:rFonts w:ascii="仿宋" w:hAnsi="仿宋" w:eastAsia="仿宋"/>
          <w:sz w:val="32"/>
        </w:rPr>
      </w:pPr>
      <w:r>
        <w:rPr>
          <w:rFonts w:hint="eastAsia" w:ascii="仿宋" w:hAnsi="仿宋" w:eastAsia="仿宋"/>
          <w:b/>
          <w:sz w:val="32"/>
        </w:rPr>
        <w:t>（2）公务用车购置及运行维护费</w:t>
      </w:r>
      <w:r>
        <w:rPr>
          <w:rFonts w:hint="eastAsia" w:ascii="仿宋" w:hAnsi="仿宋" w:eastAsia="仿宋"/>
          <w:sz w:val="32"/>
        </w:rPr>
        <w:t>预算数为0万元，支出决算为0万元，完成预算的0%。决算数等于预算数的主要原因是无公务用车。</w:t>
      </w:r>
    </w:p>
    <w:p>
      <w:pPr>
        <w:spacing w:line="360" w:lineRule="auto"/>
        <w:ind w:firstLine="640" w:firstLineChars="200"/>
        <w:rPr>
          <w:rFonts w:ascii="仿宋" w:hAnsi="仿宋" w:eastAsia="仿宋"/>
          <w:sz w:val="32"/>
        </w:rPr>
      </w:pPr>
      <w:r>
        <w:rPr>
          <w:rFonts w:hint="eastAsia" w:ascii="仿宋" w:hAnsi="仿宋" w:eastAsia="仿宋"/>
          <w:sz w:val="32"/>
        </w:rPr>
        <w:t>公务用车购置预算数为0万元，支出决算为0万元（含购置税等附加费用），完成预算的0%。决算数等于预算数的主要原因是无公务用车。主要用于经批准购置的0辆公务用车；</w:t>
      </w:r>
    </w:p>
    <w:p>
      <w:pPr>
        <w:spacing w:line="360" w:lineRule="auto"/>
        <w:ind w:firstLine="640" w:firstLineChars="200"/>
        <w:rPr>
          <w:rFonts w:ascii="仿宋" w:hAnsi="仿宋" w:eastAsia="仿宋"/>
          <w:sz w:val="32"/>
        </w:rPr>
      </w:pPr>
      <w:r>
        <w:rPr>
          <w:rFonts w:hint="eastAsia" w:ascii="仿宋" w:hAnsi="仿宋" w:eastAsia="仿宋"/>
          <w:sz w:val="32"/>
        </w:rPr>
        <w:t>公务用车运行维护费预算数为0万元，支出0万元，完成预算的0%。决算数等于预算数的主要原因是无公务用车。主要用于所需的公务用车燃料费、维修费、过路过桥费、保险费、安全奖励费用等支出；2020年度，本级及所属单位开支一般公共预算财政拨款的公务用车保有量为0辆。</w:t>
      </w:r>
    </w:p>
    <w:p>
      <w:pPr>
        <w:spacing w:line="360" w:lineRule="auto"/>
        <w:ind w:firstLine="643" w:firstLineChars="200"/>
        <w:rPr>
          <w:rFonts w:ascii="仿宋" w:hAnsi="仿宋" w:eastAsia="仿宋"/>
          <w:sz w:val="32"/>
        </w:rPr>
      </w:pPr>
      <w:r>
        <w:rPr>
          <w:rFonts w:hint="eastAsia" w:ascii="仿宋" w:hAnsi="仿宋" w:eastAsia="仿宋"/>
          <w:b/>
          <w:sz w:val="32"/>
        </w:rPr>
        <w:t>（3）公务接待费</w:t>
      </w:r>
      <w:r>
        <w:rPr>
          <w:rFonts w:hint="eastAsia" w:ascii="仿宋" w:hAnsi="仿宋" w:eastAsia="仿宋"/>
          <w:sz w:val="32"/>
        </w:rPr>
        <w:t>预算数为0.12万元，支出决算为0.1万元，完成预算的83.33%。主要用于接待兄弟县市人才服务机构来访等支出。</w:t>
      </w:r>
      <w:r>
        <w:rPr>
          <w:rFonts w:hint="eastAsia" w:ascii="仿宋" w:hAnsi="仿宋" w:eastAsia="仿宋"/>
          <w:color w:val="auto"/>
          <w:sz w:val="32"/>
        </w:rPr>
        <w:t>决算数小于预算数的主要原因是</w:t>
      </w:r>
      <w:r>
        <w:rPr>
          <w:rFonts w:hint="eastAsia"/>
          <w:color w:val="auto"/>
          <w:sz w:val="32"/>
          <w:szCs w:val="32"/>
        </w:rPr>
        <w:t>疫情期间，接待费下降</w:t>
      </w:r>
      <w:r>
        <w:rPr>
          <w:rFonts w:hint="eastAsia" w:ascii="仿宋" w:hAnsi="仿宋" w:eastAsia="仿宋"/>
          <w:color w:val="auto"/>
          <w:sz w:val="32"/>
        </w:rPr>
        <w:t>。全年使用一般公共预算财政拨款国内公务</w:t>
      </w:r>
      <w:r>
        <w:rPr>
          <w:rFonts w:hint="eastAsia" w:ascii="仿宋" w:hAnsi="仿宋" w:eastAsia="仿宋"/>
          <w:sz w:val="32"/>
        </w:rPr>
        <w:t>接待1团组，累计10人次。</w:t>
      </w:r>
    </w:p>
    <w:p>
      <w:pPr>
        <w:spacing w:line="360" w:lineRule="auto"/>
        <w:ind w:firstLine="640" w:firstLineChars="200"/>
        <w:rPr>
          <w:rFonts w:ascii="仿宋" w:hAnsi="仿宋" w:eastAsia="仿宋"/>
          <w:sz w:val="32"/>
        </w:rPr>
      </w:pPr>
      <w:r>
        <w:rPr>
          <w:rFonts w:hint="eastAsia" w:ascii="仿宋" w:hAnsi="仿宋" w:eastAsia="仿宋"/>
          <w:sz w:val="32"/>
        </w:rPr>
        <w:t>外宾接待支出0万元，接待0团组，0人次。</w:t>
      </w:r>
    </w:p>
    <w:p>
      <w:pPr>
        <w:spacing w:line="360" w:lineRule="auto"/>
        <w:ind w:firstLine="640" w:firstLineChars="200"/>
        <w:rPr>
          <w:rFonts w:ascii="仿宋" w:hAnsi="仿宋" w:eastAsia="仿宋"/>
          <w:sz w:val="32"/>
        </w:rPr>
      </w:pPr>
      <w:r>
        <w:rPr>
          <w:rFonts w:hint="eastAsia" w:ascii="仿宋" w:hAnsi="仿宋" w:eastAsia="仿宋"/>
          <w:sz w:val="32"/>
        </w:rPr>
        <w:t>其他国内公务接待支出0.1万元，主要用于接待兄弟县市人才服务机构来访等支出。接待1团组，10人次。</w:t>
      </w:r>
    </w:p>
    <w:p>
      <w:pPr>
        <w:spacing w:line="360" w:lineRule="auto"/>
        <w:ind w:firstLine="643" w:firstLineChars="200"/>
        <w:rPr>
          <w:rFonts w:ascii="楷体" w:hAnsi="楷体" w:eastAsia="楷体"/>
          <w:b/>
          <w:sz w:val="32"/>
        </w:rPr>
      </w:pPr>
      <w:r>
        <w:rPr>
          <w:rFonts w:hint="eastAsia" w:ascii="楷体" w:hAnsi="楷体" w:eastAsia="楷体"/>
          <w:b/>
          <w:sz w:val="32"/>
        </w:rPr>
        <w:t>（十）机关运行经费支出说明</w:t>
      </w:r>
    </w:p>
    <w:p>
      <w:pPr>
        <w:spacing w:line="360" w:lineRule="auto"/>
        <w:ind w:firstLine="640" w:firstLineChars="200"/>
        <w:rPr>
          <w:rFonts w:ascii="仿宋" w:hAnsi="仿宋" w:eastAsia="仿宋"/>
          <w:sz w:val="32"/>
        </w:rPr>
      </w:pPr>
      <w:r>
        <w:rPr>
          <w:rFonts w:hint="eastAsia" w:ascii="仿宋" w:hAnsi="仿宋" w:eastAsia="仿宋"/>
          <w:sz w:val="32"/>
        </w:rPr>
        <w:t>2020年度机关运行经费年初预算数为8.88万元，支出决算为2.74万元，完成年初预算的30.86%，决算数小于预算数的主要原因9月份财务撤并；比2019年度减少7.84万元，下降74.10%，主要原因是9月份财务撤并。</w:t>
      </w:r>
    </w:p>
    <w:p>
      <w:pPr>
        <w:spacing w:line="360" w:lineRule="auto"/>
        <w:ind w:firstLine="643" w:firstLineChars="200"/>
        <w:rPr>
          <w:rFonts w:ascii="楷体" w:hAnsi="楷体" w:eastAsia="楷体"/>
          <w:b/>
          <w:sz w:val="32"/>
        </w:rPr>
      </w:pPr>
      <w:r>
        <w:rPr>
          <w:rFonts w:hint="eastAsia" w:ascii="楷体" w:hAnsi="楷体" w:eastAsia="楷体"/>
          <w:b/>
          <w:sz w:val="32"/>
        </w:rPr>
        <w:t>（十一）政府采购支出说明</w:t>
      </w:r>
    </w:p>
    <w:p>
      <w:pPr>
        <w:spacing w:line="360" w:lineRule="auto"/>
        <w:ind w:firstLine="640" w:firstLineChars="200"/>
        <w:rPr>
          <w:rFonts w:ascii="仿宋" w:hAnsi="仿宋" w:eastAsia="仿宋"/>
          <w:sz w:val="32"/>
        </w:rPr>
      </w:pPr>
      <w:r>
        <w:rPr>
          <w:rFonts w:hint="eastAsia" w:ascii="仿宋" w:hAnsi="仿宋" w:eastAsia="仿宋"/>
          <w:sz w:val="32"/>
        </w:rPr>
        <w:t>2020年度政府采购支出总额2.24万元，其中：政府采购货物支出2.24万元、政府采购工程支出0万元、政府采购服务支出0万元。授予中小企业合同金额2.24万元，占政府采购支出总额的100%。其中，授予小微企业合同金额2.24万元，占政府采购支出总额的100%。</w:t>
      </w:r>
    </w:p>
    <w:p>
      <w:pPr>
        <w:spacing w:line="360" w:lineRule="auto"/>
        <w:ind w:firstLine="643" w:firstLineChars="200"/>
        <w:rPr>
          <w:rFonts w:ascii="楷体" w:hAnsi="楷体" w:eastAsia="楷体"/>
          <w:b/>
          <w:sz w:val="32"/>
        </w:rPr>
      </w:pPr>
      <w:r>
        <w:rPr>
          <w:rFonts w:hint="eastAsia" w:ascii="楷体" w:hAnsi="楷体" w:eastAsia="楷体"/>
          <w:b/>
          <w:sz w:val="32"/>
        </w:rPr>
        <w:t>（十二）国有资产占有情况说明</w:t>
      </w:r>
    </w:p>
    <w:p>
      <w:pPr>
        <w:spacing w:line="360" w:lineRule="auto"/>
        <w:ind w:firstLine="640" w:firstLineChars="200"/>
        <w:rPr>
          <w:sz w:val="32"/>
          <w:szCs w:val="32"/>
        </w:rPr>
      </w:pPr>
      <w:r>
        <w:rPr>
          <w:rFonts w:hint="eastAsia" w:ascii="仿宋" w:hAnsi="仿宋" w:eastAsia="仿宋"/>
          <w:sz w:val="32"/>
        </w:rPr>
        <w:t>截至2020年12月31日，景宁畲族自治县人才管理服务处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w:t>
      </w:r>
      <w:r>
        <w:rPr>
          <w:rFonts w:hint="eastAsia"/>
          <w:sz w:val="32"/>
          <w:szCs w:val="32"/>
        </w:rPr>
        <w:t xml:space="preserve"> </w:t>
      </w:r>
    </w:p>
    <w:p>
      <w:pPr>
        <w:spacing w:line="360" w:lineRule="auto"/>
        <w:ind w:firstLine="643" w:firstLineChars="200"/>
        <w:rPr>
          <w:rFonts w:ascii="楷体" w:hAnsi="楷体" w:eastAsia="楷体"/>
          <w:b/>
          <w:sz w:val="32"/>
        </w:rPr>
      </w:pPr>
      <w:r>
        <w:rPr>
          <w:rFonts w:hint="eastAsia" w:ascii="楷体" w:hAnsi="楷体" w:eastAsia="楷体"/>
          <w:b/>
          <w:sz w:val="32"/>
        </w:rPr>
        <w:t>（十三）预算绩效情况说明</w:t>
      </w:r>
    </w:p>
    <w:p>
      <w:pPr>
        <w:spacing w:line="360" w:lineRule="auto"/>
        <w:ind w:firstLine="643" w:firstLineChars="200"/>
        <w:rPr>
          <w:rFonts w:ascii="仿宋" w:hAnsi="仿宋" w:eastAsia="仿宋"/>
          <w:b/>
          <w:sz w:val="32"/>
        </w:rPr>
      </w:pPr>
      <w:r>
        <w:rPr>
          <w:rFonts w:hint="eastAsia" w:ascii="仿宋" w:hAnsi="仿宋" w:eastAsia="仿宋"/>
          <w:b/>
          <w:sz w:val="32"/>
        </w:rPr>
        <w:t>1.预算绩效管理工作开展情况。</w:t>
      </w:r>
    </w:p>
    <w:p>
      <w:pPr>
        <w:spacing w:line="360" w:lineRule="auto"/>
        <w:ind w:firstLine="640" w:firstLineChars="200"/>
        <w:rPr>
          <w:rFonts w:ascii="仿宋" w:hAnsi="仿宋" w:eastAsia="仿宋"/>
          <w:sz w:val="32"/>
        </w:rPr>
      </w:pPr>
      <w:r>
        <w:rPr>
          <w:rFonts w:hint="eastAsia" w:ascii="仿宋" w:hAnsi="仿宋" w:eastAsia="仿宋"/>
          <w:sz w:val="32"/>
        </w:rPr>
        <w:t>根据预算绩效管理要求，人才管理服务处未组织对2020年度一般公共预算项目支出全面开展绩效自评，其中，一级项目0个，二级项目3个，共涉及资金25万元，占一般公共预算项目支出总额的100%。因人才管理服务处于2020年9月财务资金并入局本级，故该单位未开展预算绩效管理工作。本年无政府性基金预算项目。</w:t>
      </w:r>
    </w:p>
    <w:p>
      <w:pPr>
        <w:spacing w:line="360" w:lineRule="auto"/>
        <w:ind w:firstLine="640" w:firstLineChars="200"/>
        <w:rPr>
          <w:rFonts w:ascii="仿宋" w:hAnsi="仿宋" w:eastAsia="仿宋"/>
          <w:sz w:val="32"/>
        </w:rPr>
      </w:pPr>
      <w:r>
        <w:rPr>
          <w:rFonts w:hint="eastAsia" w:ascii="仿宋" w:hAnsi="仿宋" w:eastAsia="仿宋"/>
          <w:sz w:val="32"/>
        </w:rPr>
        <w:t>本年无部门评价。</w:t>
      </w:r>
    </w:p>
    <w:p>
      <w:pPr>
        <w:spacing w:line="360" w:lineRule="auto"/>
        <w:ind w:firstLine="640" w:firstLineChars="200"/>
        <w:rPr>
          <w:rFonts w:ascii="仿宋" w:hAnsi="仿宋" w:eastAsia="仿宋"/>
          <w:sz w:val="32"/>
        </w:rPr>
      </w:pPr>
      <w:r>
        <w:rPr>
          <w:rFonts w:hint="eastAsia" w:ascii="仿宋" w:hAnsi="仿宋" w:eastAsia="仿宋"/>
          <w:sz w:val="32"/>
        </w:rPr>
        <w:t>本年无部门整体支出绩效评价。</w:t>
      </w:r>
    </w:p>
    <w:p>
      <w:pPr>
        <w:spacing w:line="360" w:lineRule="auto"/>
        <w:ind w:firstLine="640" w:firstLineChars="200"/>
        <w:rPr>
          <w:rFonts w:ascii="仿宋" w:hAnsi="仿宋" w:eastAsia="仿宋"/>
          <w:sz w:val="32"/>
        </w:rPr>
      </w:pPr>
      <w:r>
        <w:rPr>
          <w:rFonts w:hint="eastAsia" w:ascii="仿宋" w:hAnsi="仿宋" w:eastAsia="仿宋"/>
          <w:sz w:val="32"/>
        </w:rPr>
        <w:t>本年无下属部门或单位整体支出绩效评价。</w:t>
      </w:r>
    </w:p>
    <w:p>
      <w:pPr>
        <w:spacing w:line="360" w:lineRule="auto"/>
        <w:ind w:firstLine="643" w:firstLineChars="200"/>
        <w:rPr>
          <w:rFonts w:ascii="仿宋" w:hAnsi="仿宋" w:eastAsia="仿宋"/>
          <w:b/>
          <w:sz w:val="32"/>
        </w:rPr>
      </w:pPr>
      <w:r>
        <w:rPr>
          <w:rFonts w:hint="eastAsia" w:ascii="仿宋" w:hAnsi="仿宋" w:eastAsia="仿宋"/>
          <w:b/>
          <w:sz w:val="32"/>
        </w:rPr>
        <w:t>2.单位决算中项目绩效自评结果</w:t>
      </w:r>
    </w:p>
    <w:p>
      <w:pPr>
        <w:spacing w:line="360" w:lineRule="auto"/>
        <w:ind w:firstLine="640" w:firstLineChars="200"/>
        <w:rPr>
          <w:rFonts w:ascii="仿宋" w:hAnsi="仿宋" w:eastAsia="仿宋"/>
          <w:sz w:val="32"/>
        </w:rPr>
      </w:pPr>
      <w:r>
        <w:rPr>
          <w:rFonts w:hint="eastAsia" w:ascii="仿宋" w:hAnsi="仿宋" w:eastAsia="仿宋"/>
          <w:sz w:val="32"/>
        </w:rPr>
        <w:t>景宁畲族自治县人才管理服务处在2020年度部门决算中反映人事档案数字化及人事代理档案管理专项经费项目绩效自评结果。</w:t>
      </w:r>
    </w:p>
    <w:p>
      <w:pPr>
        <w:spacing w:line="360" w:lineRule="auto"/>
        <w:ind w:firstLine="640" w:firstLineChars="200"/>
        <w:rPr>
          <w:rFonts w:ascii="仿宋" w:hAnsi="仿宋" w:eastAsia="仿宋"/>
          <w:sz w:val="32"/>
        </w:rPr>
      </w:pPr>
      <w:r>
        <w:rPr>
          <w:rFonts w:hint="eastAsia" w:ascii="仿宋" w:hAnsi="仿宋" w:eastAsia="仿宋"/>
          <w:sz w:val="32"/>
        </w:rPr>
        <w:t>人事档案数字化项目绩效自评综述：根据年初设定的绩效目标，项目自评得分90分，自评结论为“优”。项目全年预算数为5.0万元，执行数为2.36万元，完成预算的47.12%。项目绩效目标完成情况：推进流动人员人事档案数字化工作。发现的问题及原因：由于9月份财务撤并，导致预算执行率低。下一步改进措施：无。</w:t>
      </w:r>
    </w:p>
    <w:tbl>
      <w:tblPr>
        <w:tblStyle w:val="6"/>
        <w:tblW w:w="8280" w:type="dxa"/>
        <w:tblInd w:w="0" w:type="dxa"/>
        <w:tblLayout w:type="fixed"/>
        <w:tblCellMar>
          <w:top w:w="0" w:type="dxa"/>
          <w:left w:w="0" w:type="dxa"/>
          <w:bottom w:w="0" w:type="dxa"/>
          <w:right w:w="0" w:type="dxa"/>
        </w:tblCellMar>
      </w:tblPr>
      <w:tblGrid>
        <w:gridCol w:w="1266"/>
        <w:gridCol w:w="893"/>
        <w:gridCol w:w="1440"/>
        <w:gridCol w:w="893"/>
        <w:gridCol w:w="1998"/>
        <w:gridCol w:w="893"/>
        <w:gridCol w:w="897"/>
      </w:tblGrid>
      <w:tr>
        <w:tblPrEx>
          <w:tblLayout w:type="fixed"/>
          <w:tblCellMar>
            <w:top w:w="0" w:type="dxa"/>
            <w:left w:w="0" w:type="dxa"/>
            <w:bottom w:w="0" w:type="dxa"/>
            <w:right w:w="0" w:type="dxa"/>
          </w:tblCellMar>
        </w:tblPrEx>
        <w:trPr>
          <w:trHeight w:val="614" w:hRule="atLeast"/>
        </w:trPr>
        <w:tc>
          <w:tcPr>
            <w:tcW w:w="828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kern w:val="0"/>
                <w:sz w:val="40"/>
                <w:szCs w:val="40"/>
              </w:rPr>
            </w:pPr>
          </w:p>
          <w:p>
            <w:pPr>
              <w:widowControl/>
              <w:jc w:val="center"/>
              <w:textAlignment w:val="center"/>
              <w:rPr>
                <w:rFonts w:ascii="仿宋" w:hAnsi="仿宋" w:eastAsia="仿宋" w:cs="仿宋"/>
                <w:b/>
                <w:color w:val="000000"/>
                <w:sz w:val="40"/>
                <w:szCs w:val="40"/>
              </w:rPr>
            </w:pPr>
            <w:r>
              <w:rPr>
                <w:rFonts w:hint="eastAsia" w:ascii="仿宋" w:hAnsi="仿宋" w:eastAsia="仿宋" w:cs="仿宋"/>
                <w:b/>
                <w:color w:val="000000"/>
                <w:kern w:val="0"/>
                <w:sz w:val="40"/>
                <w:szCs w:val="40"/>
              </w:rPr>
              <w:t>人事档案数字化项目绩效自评表</w:t>
            </w:r>
          </w:p>
        </w:tc>
      </w:tr>
      <w:tr>
        <w:tblPrEx>
          <w:tblLayout w:type="fixed"/>
          <w:tblCellMar>
            <w:top w:w="0" w:type="dxa"/>
            <w:left w:w="0" w:type="dxa"/>
            <w:bottom w:w="0" w:type="dxa"/>
            <w:right w:w="0" w:type="dxa"/>
          </w:tblCellMar>
        </w:tblPrEx>
        <w:trPr>
          <w:trHeight w:val="624" w:hRule="atLeast"/>
        </w:trPr>
        <w:tc>
          <w:tcPr>
            <w:tcW w:w="1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一级指标</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分值</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二级指标</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分值</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三级指标</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分值</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得分</w:t>
            </w:r>
          </w:p>
        </w:tc>
      </w:tr>
      <w:tr>
        <w:tblPrEx>
          <w:tblLayout w:type="fixed"/>
          <w:tblCellMar>
            <w:top w:w="0" w:type="dxa"/>
            <w:left w:w="0" w:type="dxa"/>
            <w:bottom w:w="0" w:type="dxa"/>
            <w:right w:w="0" w:type="dxa"/>
          </w:tblCellMar>
        </w:tblPrEx>
        <w:trPr>
          <w:trHeight w:val="306" w:hRule="atLeast"/>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项目决策</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项目目标</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目标内容</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r>
      <w:tr>
        <w:tblPrEx>
          <w:tblLayout w:type="fixed"/>
          <w:tblCellMar>
            <w:top w:w="0" w:type="dxa"/>
            <w:left w:w="0" w:type="dxa"/>
            <w:bottom w:w="0" w:type="dxa"/>
            <w:right w:w="0" w:type="dxa"/>
          </w:tblCellMar>
        </w:tblPrEx>
        <w:trPr>
          <w:trHeight w:val="624"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9050" cy="19050"/>
                  <wp:effectExtent l="0" t="0" r="0" b="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9050" cy="19050"/>
                  <wp:effectExtent l="0" t="0" r="0" b="0"/>
                  <wp:wrapNone/>
                  <wp:docPr id="2" name="图片_3"/>
                  <wp:cNvGraphicFramePr/>
                  <a:graphic xmlns:a="http://schemas.openxmlformats.org/drawingml/2006/main">
                    <a:graphicData uri="http://schemas.openxmlformats.org/drawingml/2006/picture">
                      <pic:pic xmlns:pic="http://schemas.openxmlformats.org/drawingml/2006/picture">
                        <pic:nvPicPr>
                          <pic:cNvPr id="2" name="图片_3"/>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9050" cy="19050"/>
                  <wp:effectExtent l="0" t="0" r="0" b="0"/>
                  <wp:wrapNone/>
                  <wp:docPr id="3" name="图片_2"/>
                  <wp:cNvGraphicFramePr/>
                  <a:graphic xmlns:a="http://schemas.openxmlformats.org/drawingml/2006/main">
                    <a:graphicData uri="http://schemas.openxmlformats.org/drawingml/2006/picture">
                      <pic:pic xmlns:pic="http://schemas.openxmlformats.org/drawingml/2006/picture">
                        <pic:nvPicPr>
                          <pic:cNvPr id="3" name="图片_2"/>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9050" cy="19050"/>
                  <wp:effectExtent l="0" t="0" r="0" b="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rPr>
              <w:t>决策过程</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决策依据</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r>
      <w:tr>
        <w:tblPrEx>
          <w:tblLayout w:type="fixed"/>
          <w:tblCellMar>
            <w:top w:w="0" w:type="dxa"/>
            <w:left w:w="0" w:type="dxa"/>
            <w:bottom w:w="0" w:type="dxa"/>
            <w:right w:w="0" w:type="dxa"/>
          </w:tblCellMar>
        </w:tblPrEx>
        <w:trPr>
          <w:trHeight w:val="306"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决策程序</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r>
      <w:tr>
        <w:tblPrEx>
          <w:tblLayout w:type="fixed"/>
          <w:tblCellMar>
            <w:top w:w="0" w:type="dxa"/>
            <w:left w:w="0" w:type="dxa"/>
            <w:bottom w:w="0" w:type="dxa"/>
            <w:right w:w="0" w:type="dxa"/>
          </w:tblCellMar>
        </w:tblPrEx>
        <w:trPr>
          <w:trHeight w:val="467"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资金分配</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分配办法</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r>
      <w:tr>
        <w:tblPrEx>
          <w:tblLayout w:type="fixed"/>
          <w:tblCellMar>
            <w:top w:w="0" w:type="dxa"/>
            <w:left w:w="0" w:type="dxa"/>
            <w:bottom w:w="0" w:type="dxa"/>
            <w:right w:w="0" w:type="dxa"/>
          </w:tblCellMar>
        </w:tblPrEx>
        <w:trPr>
          <w:trHeight w:val="491"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分配结果</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w:t>
            </w:r>
          </w:p>
        </w:tc>
      </w:tr>
      <w:tr>
        <w:tblPrEx>
          <w:tblLayout w:type="fixed"/>
          <w:tblCellMar>
            <w:top w:w="0" w:type="dxa"/>
            <w:left w:w="0" w:type="dxa"/>
            <w:bottom w:w="0" w:type="dxa"/>
            <w:right w:w="0" w:type="dxa"/>
          </w:tblCellMar>
        </w:tblPrEx>
        <w:trPr>
          <w:trHeight w:val="306" w:hRule="atLeast"/>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项目管理</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资金到位</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到位率</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r>
      <w:tr>
        <w:tblPrEx>
          <w:tblLayout w:type="fixed"/>
          <w:tblCellMar>
            <w:top w:w="0" w:type="dxa"/>
            <w:left w:w="0" w:type="dxa"/>
            <w:bottom w:w="0" w:type="dxa"/>
            <w:right w:w="0" w:type="dxa"/>
          </w:tblCellMar>
        </w:tblPrEx>
        <w:trPr>
          <w:trHeight w:val="433"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到位时效</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r>
      <w:tr>
        <w:tblPrEx>
          <w:tblLayout w:type="fixed"/>
          <w:tblCellMar>
            <w:top w:w="0" w:type="dxa"/>
            <w:left w:w="0" w:type="dxa"/>
            <w:bottom w:w="0" w:type="dxa"/>
            <w:right w:w="0" w:type="dxa"/>
          </w:tblCellMar>
        </w:tblPrEx>
        <w:trPr>
          <w:trHeight w:val="433"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资金管理</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资金使用</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r>
      <w:tr>
        <w:tblPrEx>
          <w:tblLayout w:type="fixed"/>
          <w:tblCellMar>
            <w:top w:w="0" w:type="dxa"/>
            <w:left w:w="0" w:type="dxa"/>
            <w:bottom w:w="0" w:type="dxa"/>
            <w:right w:w="0" w:type="dxa"/>
          </w:tblCellMar>
        </w:tblPrEx>
        <w:trPr>
          <w:trHeight w:val="421"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财务管理</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r>
      <w:tr>
        <w:tblPrEx>
          <w:tblLayout w:type="fixed"/>
          <w:tblCellMar>
            <w:top w:w="0" w:type="dxa"/>
            <w:left w:w="0" w:type="dxa"/>
            <w:bottom w:w="0" w:type="dxa"/>
            <w:right w:w="0" w:type="dxa"/>
          </w:tblCellMar>
        </w:tblPrEx>
        <w:trPr>
          <w:trHeight w:val="387"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组织实施</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组织机构</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r>
      <w:tr>
        <w:tblPrEx>
          <w:tblLayout w:type="fixed"/>
          <w:tblCellMar>
            <w:top w:w="0" w:type="dxa"/>
            <w:left w:w="0" w:type="dxa"/>
            <w:bottom w:w="0" w:type="dxa"/>
            <w:right w:w="0" w:type="dxa"/>
          </w:tblCellMar>
        </w:tblPrEx>
        <w:trPr>
          <w:trHeight w:val="329"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管理制度</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9</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r>
      <w:tr>
        <w:tblPrEx>
          <w:tblLayout w:type="fixed"/>
          <w:tblCellMar>
            <w:top w:w="0" w:type="dxa"/>
            <w:left w:w="0" w:type="dxa"/>
            <w:bottom w:w="0" w:type="dxa"/>
            <w:right w:w="0" w:type="dxa"/>
          </w:tblCellMar>
        </w:tblPrEx>
        <w:trPr>
          <w:trHeight w:val="456" w:hRule="atLeast"/>
        </w:trPr>
        <w:tc>
          <w:tcPr>
            <w:tcW w:w="1266"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项目绩效</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55</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项目产出</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15</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产出数量</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r>
      <w:tr>
        <w:tblPrEx>
          <w:tblLayout w:type="fixed"/>
          <w:tblCellMar>
            <w:top w:w="0" w:type="dxa"/>
            <w:left w:w="0" w:type="dxa"/>
            <w:bottom w:w="0" w:type="dxa"/>
            <w:right w:w="0" w:type="dxa"/>
          </w:tblCellMar>
        </w:tblPrEx>
        <w:trPr>
          <w:trHeight w:val="624"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产出质量</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r>
      <w:tr>
        <w:tblPrEx>
          <w:tblLayout w:type="fixed"/>
          <w:tblCellMar>
            <w:top w:w="0" w:type="dxa"/>
            <w:left w:w="0" w:type="dxa"/>
            <w:bottom w:w="0" w:type="dxa"/>
            <w:right w:w="0" w:type="dxa"/>
          </w:tblCellMar>
        </w:tblPrEx>
        <w:trPr>
          <w:trHeight w:val="624"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产出时效</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r>
      <w:tr>
        <w:tblPrEx>
          <w:tblLayout w:type="fixed"/>
          <w:tblCellMar>
            <w:top w:w="0" w:type="dxa"/>
            <w:left w:w="0" w:type="dxa"/>
            <w:bottom w:w="0" w:type="dxa"/>
            <w:right w:w="0" w:type="dxa"/>
          </w:tblCellMar>
        </w:tblPrEx>
        <w:trPr>
          <w:trHeight w:val="624"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产出成本</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r>
      <w:tr>
        <w:tblPrEx>
          <w:tblLayout w:type="fixed"/>
          <w:tblCellMar>
            <w:top w:w="0" w:type="dxa"/>
            <w:left w:w="0" w:type="dxa"/>
            <w:bottom w:w="0" w:type="dxa"/>
            <w:right w:w="0" w:type="dxa"/>
          </w:tblCellMar>
        </w:tblPrEx>
        <w:trPr>
          <w:trHeight w:val="624"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项目效益</w:t>
            </w:r>
          </w:p>
        </w:tc>
        <w:tc>
          <w:tcPr>
            <w:tcW w:w="89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40</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经济效益</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w:t>
            </w:r>
          </w:p>
        </w:tc>
      </w:tr>
      <w:tr>
        <w:tblPrEx>
          <w:tblLayout w:type="fixed"/>
          <w:tblCellMar>
            <w:top w:w="0" w:type="dxa"/>
            <w:left w:w="0" w:type="dxa"/>
            <w:bottom w:w="0" w:type="dxa"/>
            <w:right w:w="0" w:type="dxa"/>
          </w:tblCellMar>
        </w:tblPrEx>
        <w:trPr>
          <w:trHeight w:val="624"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社会效益</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w:t>
            </w:r>
          </w:p>
        </w:tc>
      </w:tr>
      <w:tr>
        <w:tblPrEx>
          <w:tblLayout w:type="fixed"/>
          <w:tblCellMar>
            <w:top w:w="0" w:type="dxa"/>
            <w:left w:w="0" w:type="dxa"/>
            <w:bottom w:w="0" w:type="dxa"/>
            <w:right w:w="0" w:type="dxa"/>
          </w:tblCellMar>
        </w:tblPrEx>
        <w:trPr>
          <w:trHeight w:val="624"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环境效益</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r>
      <w:tr>
        <w:tblPrEx>
          <w:tblLayout w:type="fixed"/>
          <w:tblCellMar>
            <w:top w:w="0" w:type="dxa"/>
            <w:left w:w="0" w:type="dxa"/>
            <w:bottom w:w="0" w:type="dxa"/>
            <w:right w:w="0" w:type="dxa"/>
          </w:tblCellMar>
        </w:tblPrEx>
        <w:trPr>
          <w:trHeight w:val="624"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可持续影响</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r>
      <w:tr>
        <w:tblPrEx>
          <w:tblLayout w:type="fixed"/>
          <w:tblCellMar>
            <w:top w:w="0" w:type="dxa"/>
            <w:left w:w="0" w:type="dxa"/>
            <w:bottom w:w="0" w:type="dxa"/>
            <w:right w:w="0" w:type="dxa"/>
          </w:tblCellMar>
        </w:tblPrEx>
        <w:trPr>
          <w:trHeight w:val="624" w:hRule="atLeast"/>
        </w:trPr>
        <w:tc>
          <w:tcPr>
            <w:tcW w:w="1266"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89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服务对象满意度</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w:t>
            </w:r>
          </w:p>
        </w:tc>
      </w:tr>
      <w:tr>
        <w:tblPrEx>
          <w:tblLayout w:type="fixed"/>
          <w:tblCellMar>
            <w:top w:w="0" w:type="dxa"/>
            <w:left w:w="0" w:type="dxa"/>
            <w:bottom w:w="0" w:type="dxa"/>
            <w:right w:w="0" w:type="dxa"/>
          </w:tblCellMar>
        </w:tblPrEx>
        <w:trPr>
          <w:trHeight w:val="624" w:hRule="atLeast"/>
        </w:trPr>
        <w:tc>
          <w:tcPr>
            <w:tcW w:w="126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总分</w:t>
            </w: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100</w:t>
            </w:r>
          </w:p>
        </w:tc>
        <w:tc>
          <w:tcPr>
            <w:tcW w:w="14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仿宋" w:hAnsi="仿宋" w:eastAsia="仿宋" w:cs="仿宋"/>
                <w:color w:val="000000"/>
                <w:sz w:val="24"/>
              </w:rPr>
            </w:pP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100</w:t>
            </w:r>
          </w:p>
        </w:tc>
        <w:tc>
          <w:tcPr>
            <w:tcW w:w="1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仿宋" w:hAnsi="仿宋" w:eastAsia="仿宋" w:cs="仿宋"/>
                <w:color w:val="000000"/>
                <w:sz w:val="24"/>
              </w:rPr>
            </w:pPr>
          </w:p>
        </w:tc>
        <w:tc>
          <w:tcPr>
            <w:tcW w:w="89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100</w:t>
            </w:r>
          </w:p>
        </w:tc>
        <w:tc>
          <w:tcPr>
            <w:tcW w:w="89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90</w:t>
            </w:r>
          </w:p>
        </w:tc>
      </w:tr>
      <w:tr>
        <w:tblPrEx>
          <w:tblLayout w:type="fixed"/>
          <w:tblCellMar>
            <w:top w:w="0" w:type="dxa"/>
            <w:left w:w="0" w:type="dxa"/>
            <w:bottom w:w="0" w:type="dxa"/>
            <w:right w:w="0" w:type="dxa"/>
          </w:tblCellMar>
        </w:tblPrEx>
        <w:trPr>
          <w:trHeight w:val="633" w:hRule="atLeast"/>
        </w:trPr>
        <w:tc>
          <w:tcPr>
            <w:tcW w:w="4492"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评价等次</w:t>
            </w:r>
          </w:p>
        </w:tc>
        <w:tc>
          <w:tcPr>
            <w:tcW w:w="3788"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优</w:t>
            </w:r>
          </w:p>
        </w:tc>
      </w:tr>
    </w:tbl>
    <w:p>
      <w:pPr>
        <w:spacing w:line="360" w:lineRule="auto"/>
        <w:rPr>
          <w:sz w:val="32"/>
          <w:szCs w:val="32"/>
        </w:rPr>
      </w:pPr>
    </w:p>
    <w:p>
      <w:pPr>
        <w:spacing w:line="360" w:lineRule="auto"/>
        <w:ind w:firstLine="640" w:firstLineChars="200"/>
        <w:rPr>
          <w:sz w:val="32"/>
          <w:szCs w:val="32"/>
        </w:rPr>
      </w:pPr>
    </w:p>
    <w:p>
      <w:pPr>
        <w:spacing w:line="360" w:lineRule="auto"/>
        <w:ind w:firstLine="640" w:firstLineChars="200"/>
        <w:rPr>
          <w:rFonts w:ascii="仿宋" w:hAnsi="仿宋" w:eastAsia="仿宋"/>
          <w:sz w:val="32"/>
        </w:rPr>
      </w:pPr>
      <w:r>
        <w:rPr>
          <w:rFonts w:hint="eastAsia" w:ascii="仿宋" w:hAnsi="仿宋" w:eastAsia="仿宋"/>
          <w:sz w:val="32"/>
        </w:rPr>
        <w:t>人事代理档案管理专项经费项目绩效自评综述：根据年初设定的绩效目标，项目自评得分94分，自评结论为“优”。项目全年预算数为10.0万元，执行数为3.47万元，完成预算的34.71%。项目绩效目标完成情况：一是完成事业中层干部人事档案全覆盖审查服务工作；二是规范干部人事档案材料接收和转递工作。发现的问题及原因：由于9月份财务撤并，导致预算执行率低。下一步改进措施：无。</w:t>
      </w:r>
    </w:p>
    <w:tbl>
      <w:tblPr>
        <w:tblStyle w:val="6"/>
        <w:tblW w:w="8500" w:type="dxa"/>
        <w:tblInd w:w="0" w:type="dxa"/>
        <w:tblLayout w:type="fixed"/>
        <w:tblCellMar>
          <w:top w:w="0" w:type="dxa"/>
          <w:left w:w="0" w:type="dxa"/>
          <w:bottom w:w="0" w:type="dxa"/>
          <w:right w:w="0" w:type="dxa"/>
        </w:tblCellMar>
      </w:tblPr>
      <w:tblGrid>
        <w:gridCol w:w="1299"/>
        <w:gridCol w:w="917"/>
        <w:gridCol w:w="1478"/>
        <w:gridCol w:w="917"/>
        <w:gridCol w:w="2051"/>
        <w:gridCol w:w="917"/>
        <w:gridCol w:w="921"/>
      </w:tblGrid>
      <w:tr>
        <w:tblPrEx>
          <w:tblLayout w:type="fixed"/>
          <w:tblCellMar>
            <w:top w:w="0" w:type="dxa"/>
            <w:left w:w="0" w:type="dxa"/>
            <w:bottom w:w="0" w:type="dxa"/>
            <w:right w:w="0" w:type="dxa"/>
          </w:tblCellMar>
        </w:tblPrEx>
        <w:trPr>
          <w:trHeight w:val="597" w:hRule="atLeast"/>
        </w:trPr>
        <w:tc>
          <w:tcPr>
            <w:tcW w:w="850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 w:hAnsi="仿宋" w:eastAsia="仿宋" w:cs="仿宋"/>
                <w:b/>
                <w:color w:val="000000"/>
                <w:sz w:val="24"/>
              </w:rPr>
            </w:pPr>
            <w:r>
              <w:rPr>
                <w:rFonts w:hint="eastAsia" w:ascii="仿宋" w:hAnsi="仿宋" w:eastAsia="仿宋" w:cs="仿宋"/>
                <w:b/>
                <w:color w:val="000000"/>
                <w:kern w:val="0"/>
                <w:sz w:val="24"/>
              </w:rPr>
              <w:t>人事代理档案管理专项经费项目绩效自评表</w:t>
            </w:r>
          </w:p>
        </w:tc>
      </w:tr>
      <w:tr>
        <w:tblPrEx>
          <w:tblLayout w:type="fixed"/>
          <w:tblCellMar>
            <w:top w:w="0" w:type="dxa"/>
            <w:left w:w="0" w:type="dxa"/>
            <w:bottom w:w="0" w:type="dxa"/>
            <w:right w:w="0" w:type="dxa"/>
          </w:tblCellMar>
        </w:tblPrEx>
        <w:trPr>
          <w:trHeight w:val="403" w:hRule="atLeast"/>
        </w:trPr>
        <w:tc>
          <w:tcPr>
            <w:tcW w:w="1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一级指标</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分值</w:t>
            </w:r>
          </w:p>
        </w:tc>
        <w:tc>
          <w:tcPr>
            <w:tcW w:w="1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二级指标</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分值</w:t>
            </w: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三级指标</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分值</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得分</w:t>
            </w:r>
          </w:p>
        </w:tc>
      </w:tr>
      <w:tr>
        <w:tblPrEx>
          <w:tblLayout w:type="fixed"/>
          <w:tblCellMar>
            <w:top w:w="0" w:type="dxa"/>
            <w:left w:w="0" w:type="dxa"/>
            <w:bottom w:w="0" w:type="dxa"/>
            <w:right w:w="0" w:type="dxa"/>
          </w:tblCellMar>
        </w:tblPrEx>
        <w:trPr>
          <w:trHeight w:val="288" w:hRule="atLeast"/>
        </w:trPr>
        <w:tc>
          <w:tcPr>
            <w:tcW w:w="12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项目决策</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项目目标</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目标内容</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r>
      <w:tr>
        <w:tblPrEx>
          <w:tblLayout w:type="fixed"/>
          <w:tblCellMar>
            <w:top w:w="0" w:type="dxa"/>
            <w:left w:w="0" w:type="dxa"/>
            <w:bottom w:w="0" w:type="dxa"/>
            <w:right w:w="0" w:type="dxa"/>
          </w:tblCellMar>
        </w:tblPrEx>
        <w:trPr>
          <w:trHeight w:val="322"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9050" cy="19050"/>
                  <wp:effectExtent l="0" t="0" r="0" b="0"/>
                  <wp:wrapNone/>
                  <wp:docPr id="5" name="图片_5"/>
                  <wp:cNvGraphicFramePr/>
                  <a:graphic xmlns:a="http://schemas.openxmlformats.org/drawingml/2006/main">
                    <a:graphicData uri="http://schemas.openxmlformats.org/drawingml/2006/picture">
                      <pic:pic xmlns:pic="http://schemas.openxmlformats.org/drawingml/2006/picture">
                        <pic:nvPicPr>
                          <pic:cNvPr id="5" name="图片_5"/>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9050" cy="19050"/>
                  <wp:effectExtent l="0" t="0" r="0" b="0"/>
                  <wp:wrapNone/>
                  <wp:docPr id="6" name="图片_7"/>
                  <wp:cNvGraphicFramePr/>
                  <a:graphic xmlns:a="http://schemas.openxmlformats.org/drawingml/2006/main">
                    <a:graphicData uri="http://schemas.openxmlformats.org/drawingml/2006/picture">
                      <pic:pic xmlns:pic="http://schemas.openxmlformats.org/drawingml/2006/picture">
                        <pic:nvPicPr>
                          <pic:cNvPr id="6" name="图片_7"/>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19050" cy="19050"/>
                  <wp:effectExtent l="0" t="0" r="0" b="0"/>
                  <wp:wrapNone/>
                  <wp:docPr id="7" name="图片_11"/>
                  <wp:cNvGraphicFramePr/>
                  <a:graphic xmlns:a="http://schemas.openxmlformats.org/drawingml/2006/main">
                    <a:graphicData uri="http://schemas.openxmlformats.org/drawingml/2006/picture">
                      <pic:pic xmlns:pic="http://schemas.openxmlformats.org/drawingml/2006/picture">
                        <pic:nvPicPr>
                          <pic:cNvPr id="7" name="图片_11"/>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19050" cy="19050"/>
                  <wp:effectExtent l="0" t="0" r="0" b="0"/>
                  <wp:wrapNone/>
                  <wp:docPr id="8" name="图片_10"/>
                  <wp:cNvGraphicFramePr/>
                  <a:graphic xmlns:a="http://schemas.openxmlformats.org/drawingml/2006/main">
                    <a:graphicData uri="http://schemas.openxmlformats.org/drawingml/2006/picture">
                      <pic:pic xmlns:pic="http://schemas.openxmlformats.org/drawingml/2006/picture">
                        <pic:nvPicPr>
                          <pic:cNvPr id="8" name="图片_10"/>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19050" cy="19050"/>
                  <wp:effectExtent l="0" t="0" r="0" b="0"/>
                  <wp:wrapNone/>
                  <wp:docPr id="9" name="图片_12"/>
                  <wp:cNvGraphicFramePr/>
                  <a:graphic xmlns:a="http://schemas.openxmlformats.org/drawingml/2006/main">
                    <a:graphicData uri="http://schemas.openxmlformats.org/drawingml/2006/picture">
                      <pic:pic xmlns:pic="http://schemas.openxmlformats.org/drawingml/2006/picture">
                        <pic:nvPicPr>
                          <pic:cNvPr id="9" name="图片_12"/>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19050" cy="19050"/>
                  <wp:effectExtent l="0" t="0" r="0" b="0"/>
                  <wp:wrapNone/>
                  <wp:docPr id="10" name="图片_9"/>
                  <wp:cNvGraphicFramePr/>
                  <a:graphic xmlns:a="http://schemas.openxmlformats.org/drawingml/2006/main">
                    <a:graphicData uri="http://schemas.openxmlformats.org/drawingml/2006/picture">
                      <pic:pic xmlns:pic="http://schemas.openxmlformats.org/drawingml/2006/picture">
                        <pic:nvPicPr>
                          <pic:cNvPr id="10" name="图片_9"/>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9050" cy="19050"/>
                  <wp:effectExtent l="0" t="0" r="0" b="0"/>
                  <wp:wrapNone/>
                  <wp:docPr id="11" name="图片_6"/>
                  <wp:cNvGraphicFramePr/>
                  <a:graphic xmlns:a="http://schemas.openxmlformats.org/drawingml/2006/main">
                    <a:graphicData uri="http://schemas.openxmlformats.org/drawingml/2006/picture">
                      <pic:pic xmlns:pic="http://schemas.openxmlformats.org/drawingml/2006/picture">
                        <pic:nvPicPr>
                          <pic:cNvPr id="11" name="图片_6"/>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bdr w:val="single" w:color="000000" w:sz="4" w:space="0"/>
                <w:shd w:val="clear" w:color="auto" w:fill="FFFFFF"/>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19050" cy="19050"/>
                  <wp:effectExtent l="0" t="0" r="0" b="0"/>
                  <wp:wrapNone/>
                  <wp:docPr id="12" name="图片_8"/>
                  <wp:cNvGraphicFramePr/>
                  <a:graphic xmlns:a="http://schemas.openxmlformats.org/drawingml/2006/main">
                    <a:graphicData uri="http://schemas.openxmlformats.org/drawingml/2006/picture">
                      <pic:pic xmlns:pic="http://schemas.openxmlformats.org/drawingml/2006/picture">
                        <pic:nvPicPr>
                          <pic:cNvPr id="12" name="图片_8"/>
                          <pic:cNvPicPr/>
                        </pic:nvPicPr>
                        <pic:blipFill>
                          <a:blip/>
                          <a:stretch>
                            <a:fillRect/>
                          </a:stretch>
                        </pic:blipFill>
                        <pic:spPr>
                          <a:xfrm>
                            <a:off x="0" y="0"/>
                            <a:ext cx="19050" cy="19050"/>
                          </a:xfrm>
                          <a:prstGeom prst="rect">
                            <a:avLst/>
                          </a:prstGeom>
                          <a:noFill/>
                          <a:ln>
                            <a:noFill/>
                          </a:ln>
                        </pic:spPr>
                      </pic:pic>
                    </a:graphicData>
                  </a:graphic>
                </wp:anchor>
              </w:drawing>
            </w:r>
            <w:r>
              <w:rPr>
                <w:rFonts w:hint="eastAsia" w:ascii="仿宋" w:hAnsi="仿宋" w:eastAsia="仿宋" w:cs="仿宋"/>
                <w:color w:val="000000"/>
                <w:kern w:val="0"/>
                <w:sz w:val="24"/>
              </w:rPr>
              <w:t>决策过程</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决策依据</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r>
      <w:tr>
        <w:tblPrEx>
          <w:tblLayout w:type="fixed"/>
          <w:tblCellMar>
            <w:top w:w="0" w:type="dxa"/>
            <w:left w:w="0" w:type="dxa"/>
            <w:bottom w:w="0" w:type="dxa"/>
            <w:right w:w="0" w:type="dxa"/>
          </w:tblCellMar>
        </w:tblPrEx>
        <w:trPr>
          <w:trHeight w:val="322"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决策程序</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r>
      <w:tr>
        <w:tblPrEx>
          <w:tblLayout w:type="fixed"/>
          <w:tblCellMar>
            <w:top w:w="0" w:type="dxa"/>
            <w:left w:w="0" w:type="dxa"/>
            <w:bottom w:w="0" w:type="dxa"/>
            <w:right w:w="0" w:type="dxa"/>
          </w:tblCellMar>
        </w:tblPrEx>
        <w:trPr>
          <w:trHeight w:val="311"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资金分配</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分配办法</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r>
      <w:tr>
        <w:tblPrEx>
          <w:tblLayout w:type="fixed"/>
          <w:tblCellMar>
            <w:top w:w="0" w:type="dxa"/>
            <w:left w:w="0" w:type="dxa"/>
            <w:bottom w:w="0" w:type="dxa"/>
            <w:right w:w="0" w:type="dxa"/>
          </w:tblCellMar>
        </w:tblPrEx>
        <w:trPr>
          <w:trHeight w:val="323"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分配结果</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6</w:t>
            </w:r>
          </w:p>
        </w:tc>
      </w:tr>
      <w:tr>
        <w:tblPrEx>
          <w:tblLayout w:type="fixed"/>
          <w:tblCellMar>
            <w:top w:w="0" w:type="dxa"/>
            <w:left w:w="0" w:type="dxa"/>
            <w:bottom w:w="0" w:type="dxa"/>
            <w:right w:w="0" w:type="dxa"/>
          </w:tblCellMar>
        </w:tblPrEx>
        <w:trPr>
          <w:trHeight w:val="346" w:hRule="atLeast"/>
        </w:trPr>
        <w:tc>
          <w:tcPr>
            <w:tcW w:w="12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项目管理</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25</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资金到位</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到位率</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r>
      <w:tr>
        <w:tblPrEx>
          <w:tblLayout w:type="fixed"/>
          <w:tblCellMar>
            <w:top w:w="0" w:type="dxa"/>
            <w:left w:w="0" w:type="dxa"/>
            <w:bottom w:w="0" w:type="dxa"/>
            <w:right w:w="0" w:type="dxa"/>
          </w:tblCellMar>
        </w:tblPrEx>
        <w:trPr>
          <w:trHeight w:val="287"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到位时效</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2</w:t>
            </w:r>
          </w:p>
        </w:tc>
      </w:tr>
      <w:tr>
        <w:tblPrEx>
          <w:tblLayout w:type="fixed"/>
          <w:tblCellMar>
            <w:top w:w="0" w:type="dxa"/>
            <w:left w:w="0" w:type="dxa"/>
            <w:bottom w:w="0" w:type="dxa"/>
            <w:right w:w="0" w:type="dxa"/>
          </w:tblCellMar>
        </w:tblPrEx>
        <w:trPr>
          <w:trHeight w:val="323"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资金管理</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资金使用</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r>
      <w:tr>
        <w:tblPrEx>
          <w:tblLayout w:type="fixed"/>
          <w:tblCellMar>
            <w:top w:w="0" w:type="dxa"/>
            <w:left w:w="0" w:type="dxa"/>
            <w:bottom w:w="0" w:type="dxa"/>
            <w:right w:w="0" w:type="dxa"/>
          </w:tblCellMar>
        </w:tblPrEx>
        <w:trPr>
          <w:trHeight w:val="265"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财务管理</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r>
      <w:tr>
        <w:tblPrEx>
          <w:tblLayout w:type="fixed"/>
          <w:tblCellMar>
            <w:top w:w="0" w:type="dxa"/>
            <w:left w:w="0" w:type="dxa"/>
            <w:bottom w:w="0" w:type="dxa"/>
            <w:right w:w="0" w:type="dxa"/>
          </w:tblCellMar>
        </w:tblPrEx>
        <w:trPr>
          <w:trHeight w:val="369"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组织实施</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w:t>
            </w: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组织机构</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w:t>
            </w:r>
          </w:p>
        </w:tc>
      </w:tr>
      <w:tr>
        <w:tblPrEx>
          <w:tblLayout w:type="fixed"/>
          <w:tblCellMar>
            <w:top w:w="0" w:type="dxa"/>
            <w:left w:w="0" w:type="dxa"/>
            <w:bottom w:w="0" w:type="dxa"/>
            <w:right w:w="0" w:type="dxa"/>
          </w:tblCellMar>
        </w:tblPrEx>
        <w:trPr>
          <w:trHeight w:val="299"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管理制度</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9</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r>
      <w:tr>
        <w:tblPrEx>
          <w:tblLayout w:type="fixed"/>
          <w:tblCellMar>
            <w:top w:w="0" w:type="dxa"/>
            <w:left w:w="0" w:type="dxa"/>
            <w:bottom w:w="0" w:type="dxa"/>
            <w:right w:w="0" w:type="dxa"/>
          </w:tblCellMar>
        </w:tblPrEx>
        <w:trPr>
          <w:trHeight w:val="311" w:hRule="atLeast"/>
        </w:trPr>
        <w:tc>
          <w:tcPr>
            <w:tcW w:w="12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项目绩效</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55</w:t>
            </w: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项目产出</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15</w:t>
            </w: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产出数量</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5</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r>
      <w:tr>
        <w:tblPrEx>
          <w:tblLayout w:type="fixed"/>
          <w:tblCellMar>
            <w:top w:w="0" w:type="dxa"/>
            <w:left w:w="0" w:type="dxa"/>
            <w:bottom w:w="0" w:type="dxa"/>
            <w:right w:w="0" w:type="dxa"/>
          </w:tblCellMar>
        </w:tblPrEx>
        <w:trPr>
          <w:trHeight w:val="346"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产出质量</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w:t>
            </w:r>
          </w:p>
        </w:tc>
      </w:tr>
      <w:tr>
        <w:tblPrEx>
          <w:tblLayout w:type="fixed"/>
          <w:tblCellMar>
            <w:top w:w="0" w:type="dxa"/>
            <w:left w:w="0" w:type="dxa"/>
            <w:bottom w:w="0" w:type="dxa"/>
            <w:right w:w="0" w:type="dxa"/>
          </w:tblCellMar>
        </w:tblPrEx>
        <w:trPr>
          <w:trHeight w:val="334"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产出时效</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r>
      <w:tr>
        <w:tblPrEx>
          <w:tblLayout w:type="fixed"/>
          <w:tblCellMar>
            <w:top w:w="0" w:type="dxa"/>
            <w:left w:w="0" w:type="dxa"/>
            <w:bottom w:w="0" w:type="dxa"/>
            <w:right w:w="0" w:type="dxa"/>
          </w:tblCellMar>
        </w:tblPrEx>
        <w:trPr>
          <w:trHeight w:val="299"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产出成本</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3</w:t>
            </w:r>
          </w:p>
        </w:tc>
      </w:tr>
      <w:tr>
        <w:tblPrEx>
          <w:tblLayout w:type="fixed"/>
          <w:tblCellMar>
            <w:top w:w="0" w:type="dxa"/>
            <w:left w:w="0" w:type="dxa"/>
            <w:bottom w:w="0" w:type="dxa"/>
            <w:right w:w="0" w:type="dxa"/>
          </w:tblCellMar>
        </w:tblPrEx>
        <w:trPr>
          <w:trHeight w:val="311"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项目效益</w:t>
            </w:r>
          </w:p>
        </w:tc>
        <w:tc>
          <w:tcPr>
            <w:tcW w:w="91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40</w:t>
            </w: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经济效益</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r>
      <w:tr>
        <w:tblPrEx>
          <w:tblLayout w:type="fixed"/>
          <w:tblCellMar>
            <w:top w:w="0" w:type="dxa"/>
            <w:left w:w="0" w:type="dxa"/>
            <w:bottom w:w="0" w:type="dxa"/>
            <w:right w:w="0" w:type="dxa"/>
          </w:tblCellMar>
        </w:tblPrEx>
        <w:trPr>
          <w:trHeight w:val="241"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社会效益</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r>
      <w:tr>
        <w:tblPrEx>
          <w:tblLayout w:type="fixed"/>
          <w:tblCellMar>
            <w:top w:w="0" w:type="dxa"/>
            <w:left w:w="0" w:type="dxa"/>
            <w:bottom w:w="0" w:type="dxa"/>
            <w:right w:w="0" w:type="dxa"/>
          </w:tblCellMar>
        </w:tblPrEx>
        <w:trPr>
          <w:trHeight w:val="277"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环境效益</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r>
      <w:tr>
        <w:tblPrEx>
          <w:tblLayout w:type="fixed"/>
          <w:tblCellMar>
            <w:top w:w="0" w:type="dxa"/>
            <w:left w:w="0" w:type="dxa"/>
            <w:bottom w:w="0" w:type="dxa"/>
            <w:right w:w="0" w:type="dxa"/>
          </w:tblCellMar>
        </w:tblPrEx>
        <w:trPr>
          <w:trHeight w:val="323"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可持续影响</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r>
      <w:tr>
        <w:tblPrEx>
          <w:tblLayout w:type="fixed"/>
          <w:tblCellMar>
            <w:top w:w="0" w:type="dxa"/>
            <w:left w:w="0" w:type="dxa"/>
            <w:bottom w:w="0" w:type="dxa"/>
            <w:right w:w="0" w:type="dxa"/>
          </w:tblCellMar>
        </w:tblPrEx>
        <w:trPr>
          <w:trHeight w:val="311" w:hRule="atLeast"/>
        </w:trPr>
        <w:tc>
          <w:tcPr>
            <w:tcW w:w="129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147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91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仿宋" w:hAnsi="仿宋" w:eastAsia="仿宋" w:cs="仿宋"/>
                <w:color w:val="000000"/>
                <w:sz w:val="24"/>
              </w:rPr>
            </w:pP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服务对象满意度</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8</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7</w:t>
            </w:r>
          </w:p>
        </w:tc>
      </w:tr>
      <w:tr>
        <w:tblPrEx>
          <w:tblLayout w:type="fixed"/>
          <w:tblCellMar>
            <w:top w:w="0" w:type="dxa"/>
            <w:left w:w="0" w:type="dxa"/>
            <w:bottom w:w="0" w:type="dxa"/>
            <w:right w:w="0" w:type="dxa"/>
          </w:tblCellMar>
        </w:tblPrEx>
        <w:trPr>
          <w:trHeight w:val="606" w:hRule="atLeast"/>
        </w:trPr>
        <w:tc>
          <w:tcPr>
            <w:tcW w:w="129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总分</w:t>
            </w: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100</w:t>
            </w:r>
          </w:p>
        </w:tc>
        <w:tc>
          <w:tcPr>
            <w:tcW w:w="147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仿宋" w:hAnsi="仿宋" w:eastAsia="仿宋" w:cs="仿宋"/>
                <w:color w:val="000000"/>
                <w:sz w:val="24"/>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100</w:t>
            </w:r>
          </w:p>
        </w:tc>
        <w:tc>
          <w:tcPr>
            <w:tcW w:w="205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仿宋" w:hAnsi="仿宋" w:eastAsia="仿宋" w:cs="仿宋"/>
                <w:color w:val="000000"/>
                <w:sz w:val="24"/>
              </w:rPr>
            </w:pPr>
          </w:p>
        </w:tc>
        <w:tc>
          <w:tcPr>
            <w:tcW w:w="91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100</w:t>
            </w:r>
          </w:p>
        </w:tc>
        <w:tc>
          <w:tcPr>
            <w:tcW w:w="921"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94</w:t>
            </w:r>
          </w:p>
        </w:tc>
      </w:tr>
      <w:tr>
        <w:tblPrEx>
          <w:tblLayout w:type="fixed"/>
          <w:tblCellMar>
            <w:top w:w="0" w:type="dxa"/>
            <w:left w:w="0" w:type="dxa"/>
            <w:bottom w:w="0" w:type="dxa"/>
            <w:right w:w="0" w:type="dxa"/>
          </w:tblCellMar>
        </w:tblPrEx>
        <w:trPr>
          <w:trHeight w:val="615" w:hRule="atLeast"/>
        </w:trPr>
        <w:tc>
          <w:tcPr>
            <w:tcW w:w="4611" w:type="dxa"/>
            <w:gridSpan w:val="4"/>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评价等次</w:t>
            </w:r>
          </w:p>
        </w:tc>
        <w:tc>
          <w:tcPr>
            <w:tcW w:w="388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仿宋" w:hAnsi="仿宋" w:eastAsia="仿宋" w:cs="仿宋"/>
                <w:color w:val="000000"/>
                <w:sz w:val="24"/>
              </w:rPr>
            </w:pPr>
            <w:r>
              <w:rPr>
                <w:rFonts w:hint="eastAsia" w:ascii="仿宋" w:hAnsi="仿宋" w:eastAsia="仿宋" w:cs="仿宋"/>
                <w:color w:val="000000"/>
                <w:kern w:val="0"/>
                <w:sz w:val="24"/>
              </w:rPr>
              <w:t>优</w:t>
            </w:r>
          </w:p>
        </w:tc>
      </w:tr>
    </w:tbl>
    <w:p>
      <w:pPr>
        <w:spacing w:line="360" w:lineRule="auto"/>
        <w:rPr>
          <w:sz w:val="32"/>
          <w:szCs w:val="32"/>
        </w:rPr>
      </w:pPr>
    </w:p>
    <w:p>
      <w:pPr>
        <w:spacing w:line="360" w:lineRule="auto"/>
        <w:ind w:firstLine="643" w:firstLineChars="200"/>
        <w:rPr>
          <w:sz w:val="32"/>
          <w:szCs w:val="32"/>
        </w:rPr>
      </w:pPr>
      <w:r>
        <w:rPr>
          <w:rFonts w:hint="eastAsia" w:ascii="楷体" w:hAnsi="楷体" w:eastAsia="楷体"/>
          <w:b/>
          <w:sz w:val="32"/>
        </w:rPr>
        <w:t>3.财政评价项目绩效评价结果：</w:t>
      </w:r>
      <w:r>
        <w:rPr>
          <w:rFonts w:hint="eastAsia"/>
          <w:sz w:val="32"/>
          <w:szCs w:val="32"/>
        </w:rPr>
        <w:t>无。</w:t>
      </w:r>
    </w:p>
    <w:p>
      <w:pPr>
        <w:spacing w:line="360" w:lineRule="auto"/>
        <w:ind w:firstLine="643" w:firstLineChars="200"/>
        <w:rPr>
          <w:sz w:val="32"/>
          <w:szCs w:val="32"/>
        </w:rPr>
      </w:pPr>
      <w:r>
        <w:rPr>
          <w:rFonts w:hint="eastAsia" w:ascii="楷体" w:hAnsi="楷体" w:eastAsia="楷体"/>
          <w:b/>
          <w:sz w:val="32"/>
        </w:rPr>
        <w:t>4.部门评价项目绩效评价结果：</w:t>
      </w:r>
      <w:r>
        <w:rPr>
          <w:rFonts w:hint="eastAsia"/>
          <w:sz w:val="32"/>
          <w:szCs w:val="32"/>
        </w:rPr>
        <w:t>无。</w:t>
      </w:r>
    </w:p>
    <w:p>
      <w:pPr>
        <w:spacing w:line="360" w:lineRule="auto"/>
        <w:ind w:firstLine="643" w:firstLineChars="200"/>
        <w:rPr>
          <w:rFonts w:ascii="楷体" w:hAnsi="楷体" w:eastAsia="楷体"/>
          <w:b/>
          <w:sz w:val="32"/>
        </w:rPr>
      </w:pPr>
      <w:r>
        <w:rPr>
          <w:rFonts w:hint="eastAsia" w:ascii="楷体" w:hAnsi="楷体" w:eastAsia="楷体"/>
          <w:b/>
          <w:sz w:val="32"/>
        </w:rPr>
        <w:t>四、名词解释</w:t>
      </w:r>
    </w:p>
    <w:p>
      <w:pPr>
        <w:spacing w:line="360" w:lineRule="auto"/>
        <w:ind w:firstLine="640" w:firstLineChars="200"/>
        <w:rPr>
          <w:sz w:val="32"/>
          <w:szCs w:val="32"/>
        </w:rPr>
      </w:pPr>
      <w:r>
        <w:rPr>
          <w:rFonts w:hint="eastAsia"/>
          <w:sz w:val="32"/>
          <w:szCs w:val="32"/>
        </w:rPr>
        <w:t>1.财政拨款收入：指本级财政部门当年拨付的财政预算资金，包括一般公共预算财政拨款、政府性基金预算财政拨款和国有资本经预算财政拨款。</w:t>
      </w:r>
    </w:p>
    <w:p>
      <w:pPr>
        <w:spacing w:line="360" w:lineRule="auto"/>
        <w:ind w:firstLine="640" w:firstLineChars="200"/>
        <w:rPr>
          <w:sz w:val="32"/>
          <w:szCs w:val="32"/>
        </w:rPr>
      </w:pPr>
      <w:r>
        <w:rPr>
          <w:rFonts w:hint="eastAsia"/>
          <w:sz w:val="32"/>
          <w:szCs w:val="32"/>
        </w:rPr>
        <w:t>2.事业收入：指事业单位开展专业业务活动及辅助活动所取得的收入。</w:t>
      </w:r>
    </w:p>
    <w:p>
      <w:pPr>
        <w:spacing w:line="360" w:lineRule="auto"/>
        <w:ind w:firstLine="640" w:firstLineChars="200"/>
        <w:rPr>
          <w:sz w:val="32"/>
          <w:szCs w:val="32"/>
        </w:rPr>
      </w:pPr>
      <w:r>
        <w:rPr>
          <w:rFonts w:hint="eastAsia"/>
          <w:sz w:val="32"/>
          <w:szCs w:val="32"/>
        </w:rPr>
        <w:t>3.经营收入：指事业单位在专业业务活动及辅助活动之外开展非独立核算经营活动取得的收入。</w:t>
      </w:r>
    </w:p>
    <w:p>
      <w:pPr>
        <w:spacing w:line="360" w:lineRule="auto"/>
        <w:ind w:firstLine="640" w:firstLineChars="200"/>
        <w:rPr>
          <w:sz w:val="32"/>
          <w:szCs w:val="32"/>
        </w:rPr>
      </w:pPr>
      <w:r>
        <w:rPr>
          <w:rFonts w:hint="eastAsia"/>
          <w:sz w:val="32"/>
          <w:szCs w:val="32"/>
        </w:rPr>
        <w:t>4.上级补助收入：指事业单位从主管部门和上级单位取得的非财政补助收入。</w:t>
      </w:r>
    </w:p>
    <w:p>
      <w:pPr>
        <w:spacing w:line="360" w:lineRule="auto"/>
        <w:ind w:firstLine="640" w:firstLineChars="200"/>
        <w:rPr>
          <w:sz w:val="32"/>
          <w:szCs w:val="32"/>
        </w:rPr>
      </w:pPr>
      <w:r>
        <w:rPr>
          <w:rFonts w:hint="eastAsia"/>
          <w:sz w:val="32"/>
          <w:szCs w:val="32"/>
        </w:rPr>
        <w:t>5.附属单位上缴收入：指事业单位附属独立核算单位按照有关规定上缴的收入。</w:t>
      </w:r>
    </w:p>
    <w:p>
      <w:pPr>
        <w:spacing w:line="360" w:lineRule="auto"/>
        <w:ind w:firstLine="640" w:firstLineChars="200"/>
        <w:rPr>
          <w:sz w:val="32"/>
          <w:szCs w:val="32"/>
        </w:rPr>
      </w:pPr>
      <w:r>
        <w:rPr>
          <w:rFonts w:hint="eastAsia"/>
          <w:sz w:val="32"/>
          <w:szCs w:val="32"/>
        </w:rPr>
        <w:t>6.其他收入：指预算单位在“财政拨款”、“事业收入”、“经营收入”、“上级补助收入”、“附属单位上缴收入”等之外取得的各项收入。</w:t>
      </w:r>
    </w:p>
    <w:p>
      <w:pPr>
        <w:spacing w:line="360" w:lineRule="auto"/>
        <w:ind w:firstLine="640" w:firstLineChars="200"/>
        <w:rPr>
          <w:sz w:val="32"/>
          <w:szCs w:val="32"/>
        </w:rPr>
      </w:pPr>
      <w:r>
        <w:rPr>
          <w:rFonts w:hint="eastAsia"/>
          <w:sz w:val="32"/>
          <w:szCs w:val="32"/>
        </w:rPr>
        <w:t>7.使用非财政拨款结余：指事业单位使用以前年度积累的非财政拨款结余弥补当年收支差额的金额。</w:t>
      </w:r>
    </w:p>
    <w:p>
      <w:pPr>
        <w:spacing w:line="360" w:lineRule="auto"/>
        <w:ind w:firstLine="640" w:firstLineChars="200"/>
        <w:rPr>
          <w:sz w:val="32"/>
          <w:szCs w:val="32"/>
        </w:rPr>
      </w:pPr>
      <w:r>
        <w:rPr>
          <w:rFonts w:hint="eastAsia"/>
          <w:sz w:val="32"/>
          <w:szCs w:val="32"/>
        </w:rPr>
        <w:t>8.年初结转和结余：指预算单位以前年度尚未完成、结转到本年仍按原规定用途继续使用的资金。</w:t>
      </w:r>
    </w:p>
    <w:p>
      <w:pPr>
        <w:spacing w:line="360" w:lineRule="auto"/>
        <w:ind w:firstLine="640" w:firstLineChars="200"/>
        <w:rPr>
          <w:sz w:val="32"/>
          <w:szCs w:val="32"/>
        </w:rPr>
      </w:pPr>
      <w:r>
        <w:rPr>
          <w:rFonts w:hint="eastAsia"/>
          <w:sz w:val="32"/>
          <w:szCs w:val="32"/>
        </w:rPr>
        <w:t>9.年末结转和结余：指单位按有关规定结转到下年或以后年度继续使用的资金。</w:t>
      </w:r>
    </w:p>
    <w:p>
      <w:pPr>
        <w:spacing w:line="360" w:lineRule="auto"/>
        <w:ind w:firstLine="640" w:firstLineChars="200"/>
        <w:rPr>
          <w:sz w:val="32"/>
          <w:szCs w:val="32"/>
        </w:rPr>
      </w:pPr>
      <w:r>
        <w:rPr>
          <w:rFonts w:hint="eastAsia"/>
          <w:sz w:val="32"/>
          <w:szCs w:val="32"/>
        </w:rPr>
        <w:t>10.基本支出：指预算单位为保障其正常运转，完成日常工作任务所发生的支出，包括人员经费支出和日常公用经费支出。</w:t>
      </w:r>
    </w:p>
    <w:p>
      <w:pPr>
        <w:spacing w:line="360" w:lineRule="auto"/>
        <w:ind w:firstLine="640" w:firstLineChars="200"/>
        <w:rPr>
          <w:sz w:val="32"/>
          <w:szCs w:val="32"/>
        </w:rPr>
      </w:pPr>
      <w:r>
        <w:rPr>
          <w:rFonts w:hint="eastAsia"/>
          <w:sz w:val="32"/>
          <w:szCs w:val="32"/>
        </w:rPr>
        <w:t>11.项目支出：指预算单位为完成其特定的行政工作任务或事业发展目标所发生的支出。</w:t>
      </w:r>
    </w:p>
    <w:p>
      <w:pPr>
        <w:spacing w:line="360" w:lineRule="auto"/>
        <w:ind w:firstLine="640" w:firstLineChars="200"/>
        <w:rPr>
          <w:sz w:val="32"/>
          <w:szCs w:val="32"/>
        </w:rPr>
      </w:pPr>
      <w:r>
        <w:rPr>
          <w:rFonts w:hint="eastAsia"/>
          <w:sz w:val="32"/>
          <w:szCs w:val="32"/>
        </w:rPr>
        <w:t>12.上缴上级支出：填列事业单位按照财政部门和主管部门的规定上缴上级单位的支出。</w:t>
      </w:r>
    </w:p>
    <w:p>
      <w:pPr>
        <w:spacing w:line="360" w:lineRule="auto"/>
        <w:ind w:firstLine="640" w:firstLineChars="200"/>
        <w:rPr>
          <w:sz w:val="32"/>
          <w:szCs w:val="32"/>
        </w:rPr>
      </w:pPr>
      <w:r>
        <w:rPr>
          <w:rFonts w:hint="eastAsia"/>
          <w:sz w:val="32"/>
          <w:szCs w:val="32"/>
        </w:rPr>
        <w:t>13.经营支出：指事业单位在专业业务活动及其辅助活动之外开展非独立核算经营活动发生的支出。</w:t>
      </w:r>
    </w:p>
    <w:p>
      <w:pPr>
        <w:spacing w:line="360" w:lineRule="auto"/>
        <w:ind w:firstLine="640" w:firstLineChars="200"/>
        <w:rPr>
          <w:sz w:val="32"/>
          <w:szCs w:val="32"/>
        </w:rPr>
      </w:pPr>
      <w:r>
        <w:rPr>
          <w:rFonts w:hint="eastAsia"/>
          <w:sz w:val="32"/>
          <w:szCs w:val="32"/>
        </w:rPr>
        <w:t>14.附属单位补助支出：填列事业单位用财政补助收入之外的收入对附属单位补助发生的支出。</w:t>
      </w:r>
    </w:p>
    <w:p>
      <w:pPr>
        <w:spacing w:line="360" w:lineRule="auto"/>
        <w:ind w:firstLine="640" w:firstLineChars="200"/>
        <w:rPr>
          <w:sz w:val="32"/>
          <w:szCs w:val="32"/>
        </w:rPr>
      </w:pPr>
      <w:r>
        <w:rPr>
          <w:rFonts w:hint="eastAsia"/>
          <w:sz w:val="32"/>
          <w:szCs w:val="32"/>
        </w:rPr>
        <w:t>15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360" w:lineRule="auto"/>
        <w:ind w:firstLine="640" w:firstLineChars="200"/>
        <w:rPr>
          <w:sz w:val="32"/>
          <w:szCs w:val="32"/>
        </w:rPr>
      </w:pPr>
      <w:r>
        <w:rPr>
          <w:rFonts w:hint="eastAsia"/>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60" w:lineRule="auto"/>
        <w:ind w:firstLine="640" w:firstLineChars="200"/>
        <w:rPr>
          <w:sz w:val="32"/>
          <w:szCs w:val="32"/>
        </w:rPr>
      </w:pPr>
      <w:r>
        <w:rPr>
          <w:rFonts w:hint="eastAsia"/>
          <w:sz w:val="32"/>
          <w:szCs w:val="32"/>
        </w:rPr>
        <w:t>17.一般公共服务支出（类）人力资源事务（款）行政运行（项）：指行政单位基本支出。</w:t>
      </w:r>
    </w:p>
    <w:p>
      <w:pPr>
        <w:spacing w:line="360" w:lineRule="auto"/>
        <w:ind w:firstLine="640" w:firstLineChars="200"/>
        <w:rPr>
          <w:sz w:val="32"/>
          <w:szCs w:val="32"/>
        </w:rPr>
      </w:pPr>
      <w:r>
        <w:rPr>
          <w:rFonts w:hint="eastAsia"/>
          <w:sz w:val="32"/>
          <w:szCs w:val="32"/>
        </w:rPr>
        <w:t>18.一般公共服务支出（类）人力资源事务（款）一般行政管理事务（项）：指行政单位的各个专项支出。</w:t>
      </w:r>
    </w:p>
    <w:p>
      <w:pPr>
        <w:spacing w:line="360" w:lineRule="auto"/>
        <w:ind w:firstLine="640" w:firstLineChars="200"/>
        <w:rPr>
          <w:sz w:val="32"/>
          <w:szCs w:val="32"/>
        </w:rPr>
      </w:pPr>
      <w:r>
        <w:rPr>
          <w:rFonts w:hint="eastAsia"/>
          <w:sz w:val="32"/>
          <w:szCs w:val="32"/>
        </w:rPr>
        <w:t>19.一般公共服务支出（类）人力资源事务（款）其他人力资源事务支出（项）：指单位编外人员支出。</w:t>
      </w:r>
    </w:p>
    <w:p>
      <w:pPr>
        <w:spacing w:line="360" w:lineRule="auto"/>
        <w:ind w:firstLine="640" w:firstLineChars="200"/>
        <w:rPr>
          <w:sz w:val="32"/>
          <w:szCs w:val="32"/>
        </w:rPr>
      </w:pPr>
      <w:r>
        <w:rPr>
          <w:rFonts w:hint="eastAsia"/>
          <w:sz w:val="32"/>
          <w:szCs w:val="32"/>
        </w:rPr>
        <w:t>20.社会保障和就业支出（类）行政事业单位离退休（款）机关事业单位基本养老保险缴费支出（项）：指养老保险单位部分支出。</w:t>
      </w:r>
    </w:p>
    <w:p>
      <w:pPr>
        <w:spacing w:line="360" w:lineRule="auto"/>
        <w:ind w:firstLine="640" w:firstLineChars="200"/>
        <w:rPr>
          <w:sz w:val="32"/>
          <w:szCs w:val="32"/>
        </w:rPr>
      </w:pPr>
      <w:r>
        <w:rPr>
          <w:rFonts w:hint="eastAsia"/>
          <w:sz w:val="32"/>
          <w:szCs w:val="32"/>
        </w:rPr>
        <w:t>21.社会保障和就业支出（类）行政事业单位离退休（款）机关事业单位职业年金缴费支出（项）：指职业年金单位部分支出。</w:t>
      </w:r>
    </w:p>
    <w:p>
      <w:pPr>
        <w:spacing w:line="360" w:lineRule="auto"/>
        <w:ind w:firstLine="640" w:firstLineChars="200"/>
        <w:rPr>
          <w:sz w:val="32"/>
          <w:szCs w:val="32"/>
        </w:rPr>
      </w:pPr>
      <w:r>
        <w:rPr>
          <w:rFonts w:hint="eastAsia"/>
          <w:sz w:val="32"/>
          <w:szCs w:val="32"/>
        </w:rPr>
        <w:t>22.医疗卫生与计划生育支出（类）行政事业单位医疗（款）行政单位医疗（项）：指医疗保险单位部分支出。</w:t>
      </w:r>
    </w:p>
    <w:p>
      <w:pPr>
        <w:spacing w:line="360" w:lineRule="auto"/>
        <w:ind w:firstLine="640" w:firstLineChars="200"/>
      </w:pPr>
      <w:r>
        <w:rPr>
          <w:rFonts w:hint="eastAsia"/>
          <w:sz w:val="32"/>
          <w:szCs w:val="32"/>
        </w:rPr>
        <w:t>23.住房保障支出（类）住房改革支出（款）住房公积金（项）：指住房公积金单位部分支出</w:t>
      </w:r>
      <w:r>
        <w:rPr>
          <w:rFonts w:hint="eastAsia"/>
        </w:rPr>
        <w:t>。</w:t>
      </w:r>
    </w:p>
    <w:sectPr>
      <w:footerReference r:id="rId3" w:type="default"/>
      <w:pgSz w:w="11906" w:h="16838"/>
      <w:pgMar w:top="816" w:right="1800" w:bottom="24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465BD"/>
    <w:multiLevelType w:val="singleLevel"/>
    <w:tmpl w:val="2C0465BD"/>
    <w:lvl w:ilvl="0" w:tentative="0">
      <w:start w:val="7"/>
      <w:numFmt w:val="chineseCounting"/>
      <w:suff w:val="nothing"/>
      <w:lvlText w:val="（%1）"/>
      <w:lvlJc w:val="left"/>
      <w:pPr>
        <w:ind w:left="3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32D5ED3"/>
    <w:rsid w:val="004529CB"/>
    <w:rsid w:val="00622A0C"/>
    <w:rsid w:val="00D07270"/>
    <w:rsid w:val="00EB04CD"/>
    <w:rsid w:val="00FD3FD2"/>
    <w:rsid w:val="07366172"/>
    <w:rsid w:val="0E2575B4"/>
    <w:rsid w:val="18BF60BF"/>
    <w:rsid w:val="1B6E75F2"/>
    <w:rsid w:val="232D5ED3"/>
    <w:rsid w:val="275B51A1"/>
    <w:rsid w:val="2D00777B"/>
    <w:rsid w:val="2D8F289B"/>
    <w:rsid w:val="2F4B65FA"/>
    <w:rsid w:val="2FCC59F8"/>
    <w:rsid w:val="446C0FE4"/>
    <w:rsid w:val="495F4322"/>
    <w:rsid w:val="4BA21938"/>
    <w:rsid w:val="5943282B"/>
    <w:rsid w:val="6164036B"/>
    <w:rsid w:val="69E72601"/>
    <w:rsid w:val="71477FC0"/>
    <w:rsid w:val="730F24A3"/>
    <w:rsid w:val="798D2A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1393</Words>
  <Characters>7942</Characters>
  <Lines>66</Lines>
  <Paragraphs>18</Paragraphs>
  <TotalTime>1</TotalTime>
  <ScaleCrop>false</ScaleCrop>
  <LinksUpToDate>false</LinksUpToDate>
  <CharactersWithSpaces>9317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2021-09-01T02:26:00Z</dcterms:created>
  <dc:creator>jn</dc:creator>
  <cp:lastModifiedBy>Administrator</cp:lastModifiedBy>
  <dcterms:modified xsi:type="dcterms:W3CDTF">2023-02-23T03:49:56Z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C9D9066BCF3A472BAA7005A2C0F49374</vt:lpwstr>
  </property>
</Properties>
</file>