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1"/>
        </w:tabs>
        <w:jc w:val="center"/>
        <w:rPr>
          <w:rFonts w:ascii="宋体" w:hAnsi="宋体"/>
          <w:b/>
          <w:bCs/>
          <w:sz w:val="36"/>
          <w:szCs w:val="36"/>
        </w:rPr>
      </w:pPr>
      <w:r>
        <w:rPr>
          <w:rFonts w:hint="eastAsia" w:ascii="宋体" w:hAnsi="宋体"/>
          <w:b/>
          <w:bCs/>
          <w:sz w:val="36"/>
          <w:szCs w:val="36"/>
        </w:rPr>
        <w:t>业务装备经费项目</w:t>
      </w:r>
    </w:p>
    <w:p>
      <w:pPr>
        <w:pStyle w:val="2"/>
        <w:ind w:firstLine="640"/>
      </w:pPr>
    </w:p>
    <w:p>
      <w:pPr>
        <w:tabs>
          <w:tab w:val="left" w:pos="711"/>
        </w:tabs>
        <w:jc w:val="center"/>
        <w:rPr>
          <w:rFonts w:ascii="宋体" w:hAnsi="宋体" w:cs="宋体"/>
          <w:sz w:val="36"/>
          <w:szCs w:val="36"/>
        </w:rPr>
      </w:pPr>
      <w:r>
        <w:rPr>
          <w:rFonts w:hint="eastAsia" w:ascii="宋体" w:hAnsi="宋体" w:cs="宋体"/>
          <w:b/>
          <w:bCs/>
          <w:sz w:val="36"/>
          <w:szCs w:val="36"/>
        </w:rPr>
        <w:t>绩效评价报告</w:t>
      </w:r>
    </w:p>
    <w:p>
      <w:pPr>
        <w:rPr>
          <w:rFonts w:ascii="宋体" w:hAnsi="宋体" w:cs="宋体"/>
          <w:sz w:val="32"/>
          <w:szCs w:val="32"/>
        </w:rPr>
      </w:pPr>
    </w:p>
    <w:p>
      <w:pPr>
        <w:rPr>
          <w:rFonts w:ascii="宋体" w:hAnsi="宋体" w:cs="宋体"/>
          <w:sz w:val="32"/>
          <w:szCs w:val="32"/>
        </w:rPr>
      </w:pPr>
      <w:r>
        <w:rPr>
          <w:rFonts w:hint="eastAsia" w:ascii="宋体" w:hAnsi="宋体" w:cs="宋体"/>
          <w:sz w:val="28"/>
          <w:szCs w:val="32"/>
        </w:rPr>
        <w:t>　</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tabs>
          <w:tab w:val="left" w:pos="1660"/>
        </w:tabs>
        <w:rPr>
          <w:rFonts w:ascii="宋体" w:hAnsi="宋体" w:cs="宋体"/>
          <w:sz w:val="32"/>
          <w:szCs w:val="32"/>
        </w:rPr>
      </w:pPr>
      <w:r>
        <w:rPr>
          <w:rFonts w:ascii="宋体" w:hAnsi="宋体" w:cs="宋体"/>
          <w:sz w:val="32"/>
          <w:szCs w:val="32"/>
        </w:rPr>
        <w:tab/>
      </w:r>
    </w:p>
    <w:p>
      <w:pPr>
        <w:tabs>
          <w:tab w:val="left" w:pos="1660"/>
        </w:tabs>
        <w:rPr>
          <w:rFonts w:ascii="宋体" w:hAnsi="宋体" w:cs="宋体"/>
          <w:sz w:val="32"/>
          <w:szCs w:val="32"/>
        </w:rPr>
      </w:pPr>
    </w:p>
    <w:p>
      <w:pPr>
        <w:tabs>
          <w:tab w:val="left" w:pos="1660"/>
        </w:tabs>
        <w:rPr>
          <w:rFonts w:ascii="宋体" w:hAnsi="宋体" w:cs="宋体"/>
          <w:sz w:val="32"/>
          <w:szCs w:val="32"/>
        </w:rPr>
      </w:pPr>
    </w:p>
    <w:p>
      <w:pPr>
        <w:tabs>
          <w:tab w:val="left" w:pos="1660"/>
        </w:tabs>
        <w:jc w:val="center"/>
        <w:rPr>
          <w:rFonts w:ascii="宋体" w:hAnsi="宋体" w:cs="宋体"/>
          <w:b/>
          <w:sz w:val="28"/>
          <w:szCs w:val="28"/>
        </w:rPr>
      </w:pPr>
      <w:r>
        <w:rPr>
          <w:rFonts w:hint="eastAsia" w:ascii="宋体" w:hAnsi="宋体" w:cs="宋体"/>
          <w:b/>
          <w:sz w:val="28"/>
          <w:szCs w:val="28"/>
        </w:rPr>
        <w:t>丽水伟峰税务师事务所（普通合伙）</w:t>
      </w:r>
    </w:p>
    <w:p>
      <w:pPr>
        <w:rPr>
          <w:rFonts w:ascii="宋体" w:hAnsi="宋体" w:cs="宋体"/>
          <w:sz w:val="32"/>
          <w:szCs w:val="32"/>
        </w:rPr>
      </w:pPr>
    </w:p>
    <w:p>
      <w:pPr>
        <w:rPr>
          <w:rFonts w:ascii="宋体" w:hAnsi="宋体" w:cs="宋体"/>
          <w:sz w:val="32"/>
          <w:szCs w:val="32"/>
        </w:rPr>
        <w:sectPr>
          <w:pgSz w:w="11906" w:h="16838"/>
          <w:pgMar w:top="1440" w:right="1800" w:bottom="1440" w:left="1800" w:header="851" w:footer="992" w:gutter="0"/>
          <w:pgNumType w:start="1"/>
          <w:cols w:space="720" w:num="1"/>
          <w:docGrid w:type="lines" w:linePitch="312" w:charSpace="0"/>
        </w:sectPr>
      </w:pPr>
    </w:p>
    <w:p>
      <w:pPr>
        <w:pStyle w:val="7"/>
        <w:tabs>
          <w:tab w:val="left" w:pos="216"/>
          <w:tab w:val="center" w:pos="4227"/>
          <w:tab w:val="right" w:leader="dot" w:pos="8306"/>
        </w:tabs>
        <w:spacing w:line="600" w:lineRule="exact"/>
        <w:jc w:val="center"/>
        <w:rPr>
          <w:rFonts w:ascii="宋体" w:hAnsi="宋体"/>
          <w:b/>
          <w:bCs/>
          <w:sz w:val="28"/>
          <w:szCs w:val="28"/>
        </w:rPr>
      </w:pPr>
      <w:r>
        <w:rPr>
          <w:rFonts w:hint="eastAsia" w:ascii="宋体" w:hAnsi="宋体"/>
          <w:b/>
          <w:bCs/>
          <w:sz w:val="28"/>
          <w:szCs w:val="28"/>
        </w:rPr>
        <w:t>“业务装备经费”项目绩效评价报告目录</w:t>
      </w:r>
    </w:p>
    <w:p>
      <w:pPr>
        <w:tabs>
          <w:tab w:val="center" w:pos="4214"/>
          <w:tab w:val="left" w:pos="5556"/>
        </w:tabs>
        <w:spacing w:line="600" w:lineRule="exact"/>
        <w:jc w:val="left"/>
        <w:rPr>
          <w:rFonts w:ascii="宋体" w:hAnsi="宋体"/>
          <w:b/>
          <w:bCs/>
          <w:sz w:val="24"/>
        </w:rPr>
      </w:pPr>
    </w:p>
    <w:p>
      <w:pPr>
        <w:pStyle w:val="7"/>
        <w:tabs>
          <w:tab w:val="right" w:leader="dot" w:pos="8306"/>
        </w:tabs>
        <w:spacing w:line="700" w:lineRule="exact"/>
        <w:rPr>
          <w:rFonts w:ascii="宋体" w:hAnsi="宋体" w:cs="宋体"/>
          <w:sz w:val="24"/>
        </w:rPr>
      </w:pPr>
      <w:r>
        <w:rPr>
          <w:rFonts w:hint="eastAsia" w:ascii="宋体" w:hAnsi="宋体" w:cs="宋体"/>
          <w:sz w:val="24"/>
        </w:rPr>
        <w:t>1.</w:t>
      </w:r>
      <w:r>
        <w:rPr>
          <w:rFonts w:hint="eastAsia" w:ascii="宋体" w:hAnsi="宋体" w:cs="宋体"/>
          <w:sz w:val="24"/>
        </w:rPr>
        <w:fldChar w:fldCharType="begin"/>
      </w:r>
      <w:r>
        <w:rPr>
          <w:rFonts w:hint="eastAsia" w:ascii="宋体" w:hAnsi="宋体" w:cs="宋体"/>
          <w:sz w:val="24"/>
        </w:rPr>
        <w:instrText xml:space="preserve">TOC \o "1-3" \h \u </w:instrText>
      </w:r>
      <w:r>
        <w:rPr>
          <w:rFonts w:hint="eastAsia" w:ascii="宋体" w:hAnsi="宋体" w:cs="宋体"/>
          <w:sz w:val="24"/>
        </w:rPr>
        <w:fldChar w:fldCharType="separate"/>
      </w:r>
      <w:r>
        <w:fldChar w:fldCharType="begin"/>
      </w:r>
      <w:r>
        <w:instrText xml:space="preserve"> HYPERLINK \l "_Toc13063" </w:instrText>
      </w:r>
      <w:r>
        <w:fldChar w:fldCharType="separate"/>
      </w:r>
      <w:r>
        <w:rPr>
          <w:rFonts w:hint="eastAsia" w:ascii="宋体" w:hAnsi="宋体" w:cs="宋体"/>
          <w:sz w:val="24"/>
        </w:rPr>
        <w:t>绩效评价报告（表格形式）</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p>
    <w:p>
      <w:pPr>
        <w:pStyle w:val="7"/>
        <w:tabs>
          <w:tab w:val="right" w:leader="dot" w:pos="8306"/>
        </w:tabs>
        <w:spacing w:line="700" w:lineRule="exact"/>
        <w:rPr>
          <w:rFonts w:ascii="宋体" w:hAnsi="宋体" w:cs="宋体"/>
          <w:sz w:val="24"/>
        </w:rPr>
      </w:pPr>
      <w:r>
        <w:rPr>
          <w:rFonts w:hint="eastAsia" w:ascii="宋体" w:hAnsi="宋体" w:cs="宋体"/>
          <w:sz w:val="24"/>
        </w:rPr>
        <w:t>2.绩效评价</w:t>
      </w:r>
      <w:r>
        <w:fldChar w:fldCharType="begin"/>
      </w:r>
      <w:r>
        <w:instrText xml:space="preserve"> HYPERLINK \l "_Toc18547" </w:instrText>
      </w:r>
      <w:r>
        <w:fldChar w:fldCharType="separate"/>
      </w:r>
      <w:r>
        <w:rPr>
          <w:rFonts w:hint="eastAsia" w:ascii="宋体" w:hAnsi="宋体" w:cs="宋体"/>
          <w:sz w:val="24"/>
        </w:rPr>
        <w:t>报告（文字部分）</w:t>
      </w:r>
      <w:r>
        <w:rPr>
          <w:rFonts w:hint="eastAsia" w:ascii="宋体" w:hAnsi="宋体" w:cs="宋体"/>
          <w:sz w:val="24"/>
        </w:rPr>
        <w:tab/>
      </w:r>
      <w:r>
        <w:rPr>
          <w:rFonts w:hint="eastAsia" w:ascii="宋体" w:hAnsi="宋体" w:cs="宋体"/>
          <w:sz w:val="24"/>
        </w:rPr>
        <w:t>7</w:t>
      </w:r>
      <w:r>
        <w:rPr>
          <w:rFonts w:hint="eastAsia" w:ascii="宋体" w:hAnsi="宋体" w:cs="宋体"/>
          <w:sz w:val="24"/>
        </w:rPr>
        <w:fldChar w:fldCharType="end"/>
      </w:r>
    </w:p>
    <w:p>
      <w:pPr>
        <w:pStyle w:val="7"/>
        <w:tabs>
          <w:tab w:val="right" w:leader="dot" w:pos="8306"/>
        </w:tabs>
        <w:spacing w:line="700" w:lineRule="exact"/>
        <w:rPr>
          <w:rFonts w:ascii="宋体" w:hAnsi="宋体" w:cs="宋体"/>
          <w:sz w:val="24"/>
        </w:rPr>
      </w:pPr>
      <w:r>
        <w:fldChar w:fldCharType="begin"/>
      </w:r>
      <w:r>
        <w:instrText xml:space="preserve"> HYPERLINK \l "_Toc19964" </w:instrText>
      </w:r>
      <w:r>
        <w:fldChar w:fldCharType="separate"/>
      </w:r>
      <w:r>
        <w:rPr>
          <w:rFonts w:hint="eastAsia" w:ascii="宋体" w:hAnsi="宋体" w:cs="宋体"/>
          <w:sz w:val="24"/>
        </w:rPr>
        <w:t>3.“业务装备经费”项目绩效目标评价表</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5</w:t>
      </w:r>
    </w:p>
    <w:p>
      <w:pPr>
        <w:pStyle w:val="7"/>
        <w:tabs>
          <w:tab w:val="right" w:leader="dot" w:pos="8306"/>
        </w:tabs>
        <w:spacing w:line="700" w:lineRule="exact"/>
        <w:rPr>
          <w:rFonts w:ascii="宋体" w:hAnsi="宋体" w:cs="宋体"/>
          <w:sz w:val="24"/>
        </w:rPr>
      </w:pPr>
    </w:p>
    <w:p>
      <w:pPr>
        <w:spacing w:line="700" w:lineRule="exact"/>
        <w:rPr>
          <w:rFonts w:ascii="宋体" w:hAnsi="宋体"/>
          <w:b/>
          <w:bCs/>
          <w:sz w:val="44"/>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宋体" w:hAnsi="宋体" w:cs="宋体"/>
          <w:sz w:val="24"/>
        </w:rPr>
        <w:fldChar w:fldCharType="end"/>
      </w:r>
      <w:r>
        <w:rPr>
          <w:rFonts w:ascii="宋体" w:hAnsi="宋体" w:cs="宋体"/>
          <w:sz w:val="24"/>
        </w:rPr>
        <w:tab/>
      </w:r>
      <w:r>
        <w:rPr>
          <w:rFonts w:hint="eastAsia" w:ascii="宋体" w:hAnsi="宋体" w:cs="宋体"/>
          <w:sz w:val="24"/>
        </w:rPr>
        <w:tab/>
      </w:r>
      <w:r>
        <w:rPr>
          <w:rFonts w:ascii="宋体" w:hAnsi="宋体" w:cs="宋体"/>
          <w:sz w:val="24"/>
        </w:rPr>
        <w:tab/>
      </w:r>
    </w:p>
    <w:p>
      <w:pPr>
        <w:spacing w:line="348" w:lineRule="auto"/>
        <w:jc w:val="center"/>
        <w:rPr>
          <w:rFonts w:ascii="仿宋_GB2312" w:eastAsia="仿宋_GB2312"/>
          <w:b/>
          <w:bCs/>
          <w:sz w:val="32"/>
        </w:rPr>
      </w:pPr>
      <w:r>
        <w:rPr>
          <w:rFonts w:hint="eastAsia" w:ascii="方正小标宋简体" w:hAnsi="方正小标宋简体" w:eastAsia="方正小标宋简体" w:cs="方正小标宋简体"/>
          <w:bCs/>
          <w:sz w:val="44"/>
        </w:rPr>
        <w:t>景宁县项目支出绩效评价报告</w:t>
      </w:r>
    </w:p>
    <w:p>
      <w:pPr>
        <w:spacing w:line="348" w:lineRule="auto"/>
        <w:jc w:val="center"/>
        <w:rPr>
          <w:rFonts w:ascii="仿宋_GB2312" w:eastAsia="仿宋_GB2312"/>
          <w:b/>
          <w:bCs/>
          <w:sz w:val="32"/>
        </w:rPr>
      </w:pPr>
    </w:p>
    <w:p>
      <w:pPr>
        <w:spacing w:line="348" w:lineRule="auto"/>
        <w:jc w:val="center"/>
        <w:rPr>
          <w:rFonts w:ascii="仿宋_GB2312" w:eastAsia="仿宋_GB2312"/>
          <w:b/>
          <w:bCs/>
          <w:sz w:val="32"/>
        </w:rPr>
      </w:pPr>
    </w:p>
    <w:p>
      <w:pPr>
        <w:spacing w:line="348" w:lineRule="auto"/>
        <w:ind w:firstLine="614" w:firstLineChars="192"/>
        <w:rPr>
          <w:rFonts w:ascii="仿宋_GB2312" w:eastAsia="仿宋_GB2312"/>
          <w:sz w:val="32"/>
          <w:u w:val="single"/>
        </w:rPr>
      </w:pPr>
      <w:r>
        <w:rPr>
          <w:rFonts w:hint="eastAsia" w:ascii="仿宋_GB2312" w:eastAsia="仿宋_GB2312"/>
          <w:sz w:val="32"/>
        </w:rPr>
        <w:t>项目名称</w:t>
      </w:r>
      <w:r>
        <w:rPr>
          <w:rFonts w:hint="eastAsia" w:ascii="仿宋_GB2312" w:eastAsia="仿宋_GB2312"/>
          <w:sz w:val="32"/>
          <w:u w:val="single"/>
        </w:rPr>
        <w:t xml:space="preserve">            业务装备经费              </w:t>
      </w:r>
    </w:p>
    <w:p>
      <w:pPr>
        <w:spacing w:line="348" w:lineRule="auto"/>
        <w:ind w:firstLine="614" w:firstLineChars="192"/>
        <w:rPr>
          <w:rFonts w:ascii="仿宋_GB2312" w:eastAsia="仿宋_GB2312"/>
          <w:sz w:val="32"/>
        </w:rPr>
      </w:pPr>
      <w:r>
        <w:rPr>
          <w:rFonts w:hint="eastAsia" w:ascii="仿宋_GB2312" w:eastAsia="仿宋_GB2312"/>
          <w:sz w:val="32"/>
        </w:rPr>
        <w:t>项目单位</w:t>
      </w:r>
      <w:r>
        <w:rPr>
          <w:rFonts w:hint="eastAsia" w:ascii="仿宋_GB2312" w:eastAsia="仿宋_GB2312"/>
          <w:sz w:val="32"/>
          <w:u w:val="single"/>
        </w:rPr>
        <w:t xml:space="preserve">    景宁畲族自治县公安局交通警察大队  </w:t>
      </w:r>
    </w:p>
    <w:p>
      <w:pPr>
        <w:spacing w:line="348" w:lineRule="auto"/>
        <w:ind w:firstLine="614" w:firstLineChars="192"/>
        <w:rPr>
          <w:rFonts w:ascii="仿宋_GB2312" w:eastAsia="仿宋_GB2312"/>
          <w:sz w:val="32"/>
          <w:u w:val="single"/>
        </w:rPr>
      </w:pPr>
      <w:r>
        <w:rPr>
          <w:rFonts w:hint="eastAsia" w:ascii="仿宋_GB2312" w:eastAsia="仿宋_GB2312"/>
          <w:sz w:val="32"/>
        </w:rPr>
        <w:t>主管部门</w:t>
      </w:r>
      <w:r>
        <w:rPr>
          <w:rFonts w:hint="eastAsia" w:ascii="仿宋_GB2312" w:eastAsia="仿宋_GB2312"/>
          <w:sz w:val="32"/>
          <w:u w:val="single"/>
        </w:rPr>
        <w:t xml:space="preserve">        景宁畲族自治县公安局          </w:t>
      </w:r>
    </w:p>
    <w:p>
      <w:pPr>
        <w:spacing w:line="348" w:lineRule="auto"/>
        <w:ind w:firstLine="614" w:firstLineChars="192"/>
        <w:rPr>
          <w:rFonts w:ascii="仿宋_GB2312" w:eastAsia="仿宋_GB2312"/>
          <w:sz w:val="32"/>
        </w:rPr>
      </w:pPr>
    </w:p>
    <w:p>
      <w:pPr>
        <w:spacing w:line="348" w:lineRule="auto"/>
        <w:ind w:firstLine="614" w:firstLineChars="192"/>
        <w:rPr>
          <w:rFonts w:ascii="仿宋_GB2312" w:eastAsia="仿宋_GB2312"/>
          <w:sz w:val="32"/>
        </w:rPr>
      </w:pPr>
    </w:p>
    <w:p>
      <w:pPr>
        <w:spacing w:line="348" w:lineRule="auto"/>
        <w:ind w:firstLine="614" w:firstLineChars="192"/>
        <w:rPr>
          <w:rFonts w:ascii="仿宋_GB2312" w:eastAsia="仿宋_GB2312"/>
          <w:sz w:val="32"/>
        </w:rPr>
      </w:pPr>
    </w:p>
    <w:p>
      <w:pPr>
        <w:spacing w:line="348" w:lineRule="auto"/>
        <w:ind w:firstLine="614" w:firstLineChars="192"/>
        <w:rPr>
          <w:rFonts w:ascii="仿宋_GB2312" w:eastAsia="仿宋_GB2312"/>
          <w:sz w:val="32"/>
        </w:rPr>
      </w:pPr>
      <w:r>
        <w:rPr>
          <w:rFonts w:hint="eastAsia" w:ascii="仿宋_GB2312" w:eastAsia="仿宋_GB2312"/>
          <w:sz w:val="32"/>
        </w:rPr>
        <w:t>评价方式：</w:t>
      </w:r>
      <w:r>
        <w:rPr>
          <w:rFonts w:hint="eastAsia" w:ascii="仿宋_GB2312" w:eastAsia="仿宋_GB2312"/>
          <w:sz w:val="28"/>
          <w:szCs w:val="28"/>
        </w:rPr>
        <w:t>部门（单位）评价□     财政评价□</w:t>
      </w:r>
    </w:p>
    <w:p>
      <w:pPr>
        <w:spacing w:line="348" w:lineRule="auto"/>
        <w:ind w:firstLine="614" w:firstLineChars="192"/>
        <w:rPr>
          <w:rFonts w:ascii="仿宋_GB2312" w:eastAsia="仿宋_GB2312"/>
          <w:sz w:val="25"/>
          <w:szCs w:val="25"/>
        </w:rPr>
      </w:pPr>
      <w:r>
        <w:rPr>
          <w:rFonts w:hint="eastAsia" w:ascii="仿宋_GB2312" w:eastAsia="仿宋_GB2312"/>
          <w:sz w:val="32"/>
        </w:rPr>
        <w:t>评价机构：</w:t>
      </w:r>
      <w:r>
        <w:rPr>
          <w:rFonts w:hint="eastAsia" w:ascii="仿宋_GB2312" w:eastAsia="仿宋_GB2312"/>
          <w:spacing w:val="-17"/>
          <w:sz w:val="28"/>
          <w:szCs w:val="28"/>
        </w:rPr>
        <w:t>第三方机构</w:t>
      </w:r>
      <w:r>
        <w:rPr>
          <w:rFonts w:hint="eastAsia" w:ascii="仿宋_GB2312" w:hAnsi="仿宋_GB2312" w:eastAsia="仿宋_GB2312" w:cs="仿宋_GB2312"/>
          <w:color w:val="000000"/>
          <w:sz w:val="24"/>
          <w:szCs w:val="24"/>
        </w:rPr>
        <w:t>☑</w:t>
      </w:r>
      <w:r>
        <w:rPr>
          <w:rFonts w:hint="eastAsia" w:ascii="仿宋_GB2312" w:eastAsia="仿宋_GB2312"/>
          <w:spacing w:val="-17"/>
          <w:sz w:val="28"/>
          <w:szCs w:val="28"/>
        </w:rPr>
        <w:t>部门（单位）评价组</w:t>
      </w:r>
      <w:r>
        <w:rPr>
          <w:rFonts w:hint="eastAsia" w:ascii="仿宋_GB2312" w:eastAsia="仿宋_GB2312"/>
          <w:sz w:val="28"/>
          <w:szCs w:val="28"/>
        </w:rPr>
        <w:t xml:space="preserve">□  </w:t>
      </w:r>
      <w:r>
        <w:rPr>
          <w:rFonts w:hint="eastAsia" w:ascii="仿宋_GB2312" w:eastAsia="仿宋_GB2312"/>
          <w:spacing w:val="-17"/>
          <w:sz w:val="28"/>
          <w:szCs w:val="28"/>
        </w:rPr>
        <w:t>财政评价组</w:t>
      </w:r>
      <w:r>
        <w:rPr>
          <w:rFonts w:hint="eastAsia" w:ascii="仿宋_GB2312" w:eastAsia="仿宋_GB2312"/>
          <w:sz w:val="28"/>
          <w:szCs w:val="28"/>
        </w:rPr>
        <w:t>□</w:t>
      </w: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szCs w:val="32"/>
        </w:rPr>
      </w:pPr>
    </w:p>
    <w:p>
      <w:pPr>
        <w:spacing w:line="348" w:lineRule="auto"/>
        <w:jc w:val="center"/>
        <w:rPr>
          <w:rFonts w:ascii="仿宋_GB2312" w:eastAsia="仿宋_GB2312"/>
          <w:sz w:val="32"/>
          <w:szCs w:val="32"/>
        </w:rPr>
      </w:pPr>
      <w:r>
        <w:rPr>
          <w:rFonts w:hint="eastAsia" w:ascii="仿宋_GB2312" w:eastAsia="仿宋_GB2312"/>
          <w:sz w:val="32"/>
          <w:szCs w:val="32"/>
        </w:rPr>
        <w:t xml:space="preserve">                             年  月  日</w:t>
      </w:r>
    </w:p>
    <w:p>
      <w:pPr>
        <w:spacing w:line="348" w:lineRule="auto"/>
        <w:jc w:val="center"/>
        <w:rPr>
          <w:rFonts w:ascii="仿宋_GB2312" w:eastAsia="仿宋_GB2312"/>
          <w:sz w:val="32"/>
          <w:szCs w:val="32"/>
        </w:rPr>
      </w:pPr>
      <w:r>
        <w:rPr>
          <w:rFonts w:hint="eastAsia" w:ascii="仿宋_GB2312" w:eastAsia="仿宋_GB2312"/>
          <w:sz w:val="32"/>
          <w:szCs w:val="32"/>
        </w:rPr>
        <w:t xml:space="preserve">                           景宁畲族自治县财政局（制）</w:t>
      </w:r>
    </w:p>
    <w:p>
      <w:pPr>
        <w:spacing w:line="360" w:lineRule="auto"/>
        <w:ind w:firstLine="460" w:firstLineChars="192"/>
        <w:jc w:val="center"/>
        <w:rPr>
          <w:rFonts w:ascii="仿宋_GB2312" w:eastAsia="仿宋_GB2312"/>
          <w:sz w:val="24"/>
          <w:szCs w:val="24"/>
        </w:rPr>
      </w:pPr>
    </w:p>
    <w:p>
      <w:pPr>
        <w:spacing w:line="360" w:lineRule="auto"/>
        <w:ind w:firstLine="537" w:firstLineChars="192"/>
        <w:jc w:val="center"/>
        <w:rPr>
          <w:rFonts w:ascii="仿宋_GB2312" w:eastAsia="仿宋_GB2312"/>
          <w:sz w:val="28"/>
        </w:rPr>
      </w:pPr>
    </w:p>
    <w:p>
      <w:pPr>
        <w:spacing w:line="360" w:lineRule="auto"/>
        <w:ind w:firstLine="537" w:firstLineChars="192"/>
        <w:jc w:val="center"/>
        <w:rPr>
          <w:rFonts w:ascii="仿宋_GB2312" w:eastAsia="仿宋_GB2312"/>
          <w:sz w:val="28"/>
        </w:rPr>
      </w:pPr>
    </w:p>
    <w:p>
      <w:pPr>
        <w:spacing w:line="360" w:lineRule="auto"/>
        <w:ind w:firstLine="537" w:firstLineChars="192"/>
        <w:jc w:val="center"/>
        <w:rPr>
          <w:rFonts w:ascii="仿宋_GB2312" w:eastAsia="仿宋_GB2312"/>
          <w:sz w:val="28"/>
        </w:rPr>
      </w:pPr>
    </w:p>
    <w:p>
      <w:pPr>
        <w:spacing w:line="360" w:lineRule="auto"/>
        <w:ind w:firstLine="537" w:firstLineChars="192"/>
        <w:jc w:val="center"/>
        <w:rPr>
          <w:rFonts w:ascii="仿宋_GB2312" w:eastAsia="仿宋_GB2312"/>
          <w:sz w:val="28"/>
        </w:rPr>
      </w:pPr>
    </w:p>
    <w:p>
      <w:pPr>
        <w:spacing w:line="360" w:lineRule="auto"/>
        <w:ind w:firstLine="537" w:firstLineChars="192"/>
        <w:jc w:val="center"/>
        <w:rPr>
          <w:rFonts w:ascii="仿宋_GB2312" w:eastAsia="仿宋_GB2312"/>
          <w:sz w:val="28"/>
        </w:rPr>
      </w:pPr>
    </w:p>
    <w:p>
      <w:pPr>
        <w:jc w:val="center"/>
        <w:rPr>
          <w:rFonts w:ascii="仿宋_GB2312" w:eastAsia="仿宋_GB2312"/>
          <w:b/>
          <w:sz w:val="28"/>
          <w:szCs w:val="28"/>
        </w:rPr>
        <w:sectPr>
          <w:footerReference r:id="rId4" w:type="default"/>
          <w:pgSz w:w="11906" w:h="16838"/>
          <w:pgMar w:top="1440" w:right="1800" w:bottom="1440" w:left="1800" w:header="851" w:footer="992" w:gutter="0"/>
          <w:cols w:space="425" w:num="1"/>
          <w:docGrid w:type="lines" w:linePitch="312" w:charSpace="0"/>
        </w:sectPr>
      </w:pPr>
    </w:p>
    <w:tbl>
      <w:tblPr>
        <w:tblStyle w:val="8"/>
        <w:tblW w:w="8459"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5"/>
        <w:gridCol w:w="972"/>
        <w:gridCol w:w="469"/>
        <w:gridCol w:w="16"/>
        <w:gridCol w:w="1126"/>
        <w:gridCol w:w="216"/>
        <w:gridCol w:w="1042"/>
        <w:gridCol w:w="11"/>
        <w:gridCol w:w="702"/>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8459" w:type="dxa"/>
            <w:gridSpan w:val="10"/>
          </w:tcPr>
          <w:p>
            <w:pPr>
              <w:jc w:val="center"/>
              <w:rPr>
                <w:rFonts w:ascii="仿宋_GB2312" w:eastAsia="仿宋_GB2312"/>
                <w:b/>
                <w:sz w:val="28"/>
                <w:szCs w:val="28"/>
              </w:rPr>
            </w:pPr>
            <w:r>
              <w:rPr>
                <w:rFonts w:hint="eastAsia" w:ascii="仿宋_GB2312" w:eastAsia="仿宋_GB2312"/>
                <w:b/>
                <w:sz w:val="28"/>
                <w:szCs w:val="28"/>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795" w:type="dxa"/>
          </w:tcPr>
          <w:p>
            <w:pPr>
              <w:jc w:val="center"/>
              <w:rPr>
                <w:rFonts w:ascii="仿宋_GB2312" w:eastAsia="仿宋_GB2312"/>
                <w:sz w:val="28"/>
                <w:szCs w:val="28"/>
              </w:rPr>
            </w:pPr>
            <w:r>
              <w:rPr>
                <w:rFonts w:hint="eastAsia" w:ascii="仿宋_GB2312" w:eastAsia="仿宋_GB2312"/>
                <w:sz w:val="28"/>
                <w:szCs w:val="28"/>
              </w:rPr>
              <w:t>项目负责人</w:t>
            </w:r>
          </w:p>
        </w:tc>
        <w:tc>
          <w:tcPr>
            <w:tcW w:w="1441" w:type="dxa"/>
            <w:gridSpan w:val="2"/>
          </w:tcPr>
          <w:p>
            <w:pPr>
              <w:jc w:val="center"/>
              <w:rPr>
                <w:rFonts w:ascii="仿宋_GB2312" w:eastAsia="仿宋_GB2312"/>
                <w:sz w:val="28"/>
                <w:szCs w:val="28"/>
              </w:rPr>
            </w:pPr>
            <w:r>
              <w:rPr>
                <w:rFonts w:hint="eastAsia" w:ascii="仿宋_GB2312" w:eastAsia="仿宋_GB2312"/>
                <w:sz w:val="28"/>
                <w:szCs w:val="28"/>
              </w:rPr>
              <w:t>叶卫民</w:t>
            </w:r>
          </w:p>
        </w:tc>
        <w:tc>
          <w:tcPr>
            <w:tcW w:w="1358" w:type="dxa"/>
            <w:gridSpan w:val="3"/>
          </w:tcPr>
          <w:p>
            <w:pPr>
              <w:jc w:val="center"/>
              <w:rPr>
                <w:rFonts w:ascii="仿宋_GB2312" w:eastAsia="仿宋_GB2312"/>
                <w:sz w:val="28"/>
                <w:szCs w:val="28"/>
              </w:rPr>
            </w:pPr>
            <w:r>
              <w:rPr>
                <w:rFonts w:hint="eastAsia" w:ascii="仿宋_GB2312" w:eastAsia="仿宋_GB2312"/>
                <w:sz w:val="28"/>
                <w:szCs w:val="28"/>
              </w:rPr>
              <w:t>联系电话</w:t>
            </w:r>
          </w:p>
        </w:tc>
        <w:tc>
          <w:tcPr>
            <w:tcW w:w="2865" w:type="dxa"/>
            <w:gridSpan w:val="4"/>
          </w:tcPr>
          <w:p>
            <w:pPr>
              <w:jc w:val="center"/>
              <w:rPr>
                <w:rFonts w:ascii="仿宋_GB2312" w:eastAsia="仿宋_GB2312"/>
                <w:sz w:val="28"/>
                <w:szCs w:val="28"/>
              </w:rPr>
            </w:pPr>
            <w:r>
              <w:rPr>
                <w:rFonts w:hint="eastAsia" w:ascii="仿宋_GB2312" w:eastAsia="仿宋_GB2312"/>
                <w:sz w:val="28"/>
                <w:szCs w:val="28"/>
              </w:rPr>
              <w:t>135</w:t>
            </w:r>
            <w:r>
              <w:rPr>
                <w:rFonts w:hint="eastAsia" w:ascii="仿宋_GB2312" w:eastAsia="仿宋_GB2312"/>
                <w:sz w:val="28"/>
                <w:szCs w:val="28"/>
                <w:lang w:val="en-US" w:eastAsia="zh-CN"/>
              </w:rPr>
              <w:t>****</w:t>
            </w:r>
            <w:bookmarkStart w:id="3" w:name="_GoBack"/>
            <w:bookmarkEnd w:id="3"/>
            <w:r>
              <w:rPr>
                <w:rFonts w:hint="eastAsia" w:ascii="仿宋_GB2312" w:eastAsia="仿宋_GB2312"/>
                <w:sz w:val="28"/>
                <w:szCs w:val="28"/>
              </w:rPr>
              <w:t>9678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8" w:hRule="atLeast"/>
        </w:trPr>
        <w:tc>
          <w:tcPr>
            <w:tcW w:w="2795" w:type="dxa"/>
          </w:tcPr>
          <w:p>
            <w:pPr>
              <w:jc w:val="center"/>
              <w:rPr>
                <w:rFonts w:ascii="仿宋_GB2312" w:eastAsia="仿宋_GB2312"/>
                <w:sz w:val="28"/>
                <w:szCs w:val="28"/>
              </w:rPr>
            </w:pPr>
            <w:r>
              <w:rPr>
                <w:rFonts w:hint="eastAsia" w:ascii="仿宋_GB2312" w:eastAsia="仿宋_GB2312"/>
                <w:sz w:val="28"/>
                <w:szCs w:val="28"/>
              </w:rPr>
              <w:t>地     址</w:t>
            </w:r>
          </w:p>
        </w:tc>
        <w:tc>
          <w:tcPr>
            <w:tcW w:w="2583" w:type="dxa"/>
            <w:gridSpan w:val="4"/>
          </w:tcPr>
          <w:p>
            <w:pPr>
              <w:rPr>
                <w:rFonts w:ascii="仿宋_GB2312" w:eastAsia="仿宋_GB2312"/>
                <w:sz w:val="28"/>
                <w:szCs w:val="28"/>
              </w:rPr>
            </w:pPr>
            <w:r>
              <w:rPr>
                <w:rFonts w:hint="eastAsia" w:ascii="仿宋_GB2312" w:eastAsia="仿宋_GB2312"/>
                <w:sz w:val="28"/>
                <w:szCs w:val="28"/>
              </w:rPr>
              <w:t>景宁县红星街道环城西路</w:t>
            </w:r>
          </w:p>
        </w:tc>
        <w:tc>
          <w:tcPr>
            <w:tcW w:w="1258" w:type="dxa"/>
            <w:gridSpan w:val="2"/>
          </w:tcPr>
          <w:p>
            <w:pPr>
              <w:rPr>
                <w:rFonts w:ascii="仿宋_GB2312" w:eastAsia="仿宋_GB2312"/>
                <w:sz w:val="28"/>
                <w:szCs w:val="28"/>
              </w:rPr>
            </w:pPr>
            <w:r>
              <w:rPr>
                <w:rFonts w:hint="eastAsia" w:ascii="仿宋_GB2312" w:eastAsia="仿宋_GB2312"/>
                <w:sz w:val="28"/>
                <w:szCs w:val="28"/>
              </w:rPr>
              <w:t>邮编</w:t>
            </w:r>
          </w:p>
        </w:tc>
        <w:tc>
          <w:tcPr>
            <w:tcW w:w="1823" w:type="dxa"/>
            <w:gridSpan w:val="3"/>
          </w:tcPr>
          <w:p>
            <w:pPr>
              <w:jc w:val="center"/>
              <w:rPr>
                <w:rFonts w:ascii="仿宋_GB2312" w:eastAsia="仿宋_GB2312"/>
                <w:sz w:val="28"/>
                <w:szCs w:val="28"/>
              </w:rPr>
            </w:pPr>
            <w:r>
              <w:rPr>
                <w:rFonts w:ascii="仿宋_GB2312" w:eastAsia="仿宋_GB2312"/>
                <w:sz w:val="28"/>
                <w:szCs w:val="28"/>
              </w:rPr>
              <w:t>323500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795" w:type="dxa"/>
          </w:tcPr>
          <w:p>
            <w:pPr>
              <w:jc w:val="center"/>
              <w:rPr>
                <w:rFonts w:ascii="仿宋_GB2312" w:eastAsia="仿宋_GB2312"/>
                <w:sz w:val="28"/>
                <w:szCs w:val="28"/>
              </w:rPr>
            </w:pPr>
            <w:r>
              <w:rPr>
                <w:rFonts w:hint="eastAsia" w:ascii="仿宋_GB2312" w:eastAsia="仿宋_GB2312"/>
                <w:sz w:val="28"/>
                <w:szCs w:val="28"/>
              </w:rPr>
              <w:t>项目起止时间</w:t>
            </w:r>
          </w:p>
        </w:tc>
        <w:tc>
          <w:tcPr>
            <w:tcW w:w="5664" w:type="dxa"/>
            <w:gridSpan w:val="9"/>
          </w:tcPr>
          <w:p>
            <w:pPr>
              <w:jc w:val="center"/>
              <w:rPr>
                <w:rFonts w:ascii="仿宋_GB2312" w:eastAsia="仿宋_GB2312"/>
                <w:sz w:val="28"/>
                <w:szCs w:val="28"/>
              </w:rPr>
            </w:pPr>
            <w:r>
              <w:rPr>
                <w:rFonts w:hint="eastAsia" w:ascii="仿宋_GB2312" w:eastAsia="仿宋_GB2312"/>
                <w:sz w:val="28"/>
                <w:szCs w:val="28"/>
              </w:rPr>
              <w:t>2021.1～2021.12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5" w:type="dxa"/>
            <w:vAlign w:val="center"/>
          </w:tcPr>
          <w:p>
            <w:pPr>
              <w:rPr>
                <w:rFonts w:ascii="仿宋_GB2312" w:eastAsia="仿宋_GB2312"/>
                <w:sz w:val="28"/>
                <w:szCs w:val="28"/>
              </w:rPr>
            </w:pPr>
            <w:r>
              <w:rPr>
                <w:rFonts w:hint="eastAsia" w:ascii="仿宋_GB2312" w:eastAsia="仿宋_GB2312"/>
                <w:sz w:val="28"/>
                <w:szCs w:val="28"/>
              </w:rPr>
              <w:t>计划安排资金（万元）</w:t>
            </w:r>
          </w:p>
        </w:tc>
        <w:tc>
          <w:tcPr>
            <w:tcW w:w="1457" w:type="dxa"/>
            <w:gridSpan w:val="3"/>
            <w:vAlign w:val="center"/>
          </w:tcPr>
          <w:p>
            <w:pPr>
              <w:jc w:val="center"/>
              <w:rPr>
                <w:rFonts w:ascii="仿宋_GB2312" w:eastAsia="仿宋_GB2312"/>
                <w:sz w:val="28"/>
                <w:szCs w:val="28"/>
              </w:rPr>
            </w:pPr>
            <w:r>
              <w:rPr>
                <w:rFonts w:hint="eastAsia" w:ascii="仿宋_GB2312" w:eastAsia="仿宋_GB2312"/>
                <w:sz w:val="28"/>
                <w:szCs w:val="28"/>
              </w:rPr>
              <w:t>261.40</w:t>
            </w:r>
          </w:p>
        </w:tc>
        <w:tc>
          <w:tcPr>
            <w:tcW w:w="3097" w:type="dxa"/>
            <w:gridSpan w:val="5"/>
            <w:vAlign w:val="center"/>
          </w:tcPr>
          <w:p>
            <w:pPr>
              <w:jc w:val="center"/>
              <w:rPr>
                <w:rFonts w:ascii="仿宋_GB2312" w:eastAsia="仿宋_GB2312"/>
                <w:sz w:val="28"/>
                <w:szCs w:val="28"/>
              </w:rPr>
            </w:pPr>
            <w:r>
              <w:rPr>
                <w:rFonts w:hint="eastAsia" w:ascii="仿宋_GB2312" w:eastAsia="仿宋_GB2312"/>
                <w:sz w:val="28"/>
                <w:szCs w:val="28"/>
              </w:rPr>
              <w:t>实际到位资金（万元）</w:t>
            </w:r>
          </w:p>
        </w:tc>
        <w:tc>
          <w:tcPr>
            <w:tcW w:w="1110" w:type="dxa"/>
            <w:vAlign w:val="center"/>
          </w:tcPr>
          <w:p>
            <w:pPr>
              <w:jc w:val="center"/>
              <w:rPr>
                <w:rFonts w:ascii="仿宋_GB2312" w:eastAsia="仿宋_GB2312"/>
                <w:sz w:val="28"/>
                <w:szCs w:val="28"/>
              </w:rPr>
            </w:pPr>
            <w:r>
              <w:rPr>
                <w:rFonts w:hint="eastAsia" w:ascii="仿宋_GB2312" w:eastAsia="仿宋_GB2312"/>
                <w:sz w:val="28"/>
                <w:szCs w:val="28"/>
              </w:rPr>
              <w:t>261.40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795" w:type="dxa"/>
            <w:vAlign w:val="center"/>
          </w:tcPr>
          <w:p>
            <w:pPr>
              <w:rPr>
                <w:rFonts w:ascii="仿宋_GB2312" w:eastAsia="仿宋_GB2312"/>
                <w:sz w:val="28"/>
                <w:szCs w:val="28"/>
              </w:rPr>
            </w:pPr>
            <w:r>
              <w:rPr>
                <w:rFonts w:hint="eastAsia" w:ascii="仿宋_GB2312" w:eastAsia="仿宋_GB2312"/>
                <w:sz w:val="28"/>
                <w:szCs w:val="28"/>
              </w:rPr>
              <w:t>其中：中央财政</w:t>
            </w:r>
          </w:p>
        </w:tc>
        <w:tc>
          <w:tcPr>
            <w:tcW w:w="1457" w:type="dxa"/>
            <w:gridSpan w:val="3"/>
            <w:vAlign w:val="center"/>
          </w:tcPr>
          <w:p>
            <w:pPr>
              <w:rPr>
                <w:rFonts w:ascii="仿宋_GB2312" w:eastAsia="仿宋_GB2312"/>
                <w:sz w:val="28"/>
                <w:szCs w:val="28"/>
              </w:rPr>
            </w:pPr>
          </w:p>
        </w:tc>
        <w:tc>
          <w:tcPr>
            <w:tcW w:w="3097" w:type="dxa"/>
            <w:gridSpan w:val="5"/>
            <w:vAlign w:val="center"/>
          </w:tcPr>
          <w:p>
            <w:pPr>
              <w:rPr>
                <w:rFonts w:ascii="仿宋_GB2312" w:eastAsia="仿宋_GB2312"/>
                <w:sz w:val="28"/>
                <w:szCs w:val="28"/>
              </w:rPr>
            </w:pPr>
            <w:r>
              <w:rPr>
                <w:rFonts w:hint="eastAsia" w:ascii="仿宋_GB2312" w:eastAsia="仿宋_GB2312"/>
                <w:sz w:val="28"/>
                <w:szCs w:val="28"/>
              </w:rPr>
              <w:t>其中：中央财政</w:t>
            </w:r>
          </w:p>
        </w:tc>
        <w:tc>
          <w:tcPr>
            <w:tcW w:w="1110" w:type="dxa"/>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795" w:type="dxa"/>
            <w:vAlign w:val="center"/>
          </w:tcPr>
          <w:p>
            <w:pPr>
              <w:ind w:firstLine="887" w:firstLineChars="317"/>
              <w:rPr>
                <w:rFonts w:ascii="仿宋_GB2312" w:eastAsia="仿宋_GB2312"/>
                <w:sz w:val="28"/>
                <w:szCs w:val="28"/>
              </w:rPr>
            </w:pPr>
            <w:r>
              <w:rPr>
                <w:rFonts w:hint="eastAsia" w:ascii="仿宋_GB2312" w:eastAsia="仿宋_GB2312"/>
                <w:sz w:val="28"/>
                <w:szCs w:val="28"/>
              </w:rPr>
              <w:t>省财政</w:t>
            </w:r>
          </w:p>
        </w:tc>
        <w:tc>
          <w:tcPr>
            <w:tcW w:w="1457" w:type="dxa"/>
            <w:gridSpan w:val="3"/>
            <w:vAlign w:val="center"/>
          </w:tcPr>
          <w:p>
            <w:pPr>
              <w:jc w:val="center"/>
              <w:rPr>
                <w:rFonts w:ascii="仿宋_GB2312" w:eastAsia="仿宋_GB2312"/>
                <w:sz w:val="28"/>
                <w:szCs w:val="28"/>
              </w:rPr>
            </w:pPr>
            <w:r>
              <w:rPr>
                <w:rFonts w:hint="eastAsia" w:ascii="仿宋_GB2312" w:eastAsia="仿宋_GB2312"/>
                <w:sz w:val="28"/>
                <w:szCs w:val="28"/>
              </w:rPr>
              <w:t>191.00</w:t>
            </w:r>
          </w:p>
        </w:tc>
        <w:tc>
          <w:tcPr>
            <w:tcW w:w="3097" w:type="dxa"/>
            <w:gridSpan w:val="5"/>
            <w:vAlign w:val="center"/>
          </w:tcPr>
          <w:p>
            <w:pPr>
              <w:ind w:firstLine="887" w:firstLineChars="317"/>
              <w:rPr>
                <w:rFonts w:ascii="仿宋_GB2312" w:eastAsia="仿宋_GB2312"/>
                <w:sz w:val="28"/>
                <w:szCs w:val="28"/>
              </w:rPr>
            </w:pPr>
            <w:r>
              <w:rPr>
                <w:rFonts w:hint="eastAsia" w:ascii="仿宋_GB2312" w:eastAsia="仿宋_GB2312"/>
                <w:sz w:val="28"/>
                <w:szCs w:val="28"/>
              </w:rPr>
              <w:t>省财政</w:t>
            </w:r>
          </w:p>
        </w:tc>
        <w:tc>
          <w:tcPr>
            <w:tcW w:w="1110" w:type="dxa"/>
            <w:vAlign w:val="center"/>
          </w:tcPr>
          <w:p>
            <w:pPr>
              <w:jc w:val="center"/>
              <w:rPr>
                <w:rFonts w:ascii="仿宋_GB2312" w:eastAsia="仿宋_GB2312"/>
                <w:sz w:val="28"/>
                <w:szCs w:val="28"/>
              </w:rPr>
            </w:pPr>
            <w:r>
              <w:rPr>
                <w:rFonts w:hint="eastAsia" w:ascii="仿宋_GB2312" w:eastAsia="仿宋_GB2312"/>
                <w:sz w:val="28"/>
                <w:szCs w:val="28"/>
              </w:rPr>
              <w:t>191.00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795" w:type="dxa"/>
            <w:vAlign w:val="center"/>
          </w:tcPr>
          <w:p>
            <w:pPr>
              <w:ind w:firstLine="887" w:firstLineChars="317"/>
              <w:rPr>
                <w:rFonts w:ascii="仿宋_GB2312" w:eastAsia="仿宋_GB2312"/>
                <w:sz w:val="28"/>
                <w:szCs w:val="28"/>
              </w:rPr>
            </w:pPr>
            <w:r>
              <w:rPr>
                <w:rFonts w:hint="eastAsia" w:ascii="仿宋_GB2312" w:eastAsia="仿宋_GB2312"/>
                <w:sz w:val="28"/>
                <w:szCs w:val="28"/>
              </w:rPr>
              <w:t>市县财政</w:t>
            </w:r>
          </w:p>
        </w:tc>
        <w:tc>
          <w:tcPr>
            <w:tcW w:w="1457" w:type="dxa"/>
            <w:gridSpan w:val="3"/>
            <w:vAlign w:val="center"/>
          </w:tcPr>
          <w:p>
            <w:pPr>
              <w:jc w:val="center"/>
              <w:rPr>
                <w:rFonts w:ascii="仿宋_GB2312" w:eastAsia="仿宋_GB2312"/>
                <w:sz w:val="28"/>
                <w:szCs w:val="28"/>
              </w:rPr>
            </w:pPr>
          </w:p>
        </w:tc>
        <w:tc>
          <w:tcPr>
            <w:tcW w:w="3097" w:type="dxa"/>
            <w:gridSpan w:val="5"/>
            <w:vAlign w:val="center"/>
          </w:tcPr>
          <w:p>
            <w:pPr>
              <w:jc w:val="center"/>
              <w:rPr>
                <w:rFonts w:ascii="仿宋_GB2312" w:eastAsia="仿宋_GB2312"/>
                <w:sz w:val="28"/>
                <w:szCs w:val="28"/>
              </w:rPr>
            </w:pPr>
            <w:r>
              <w:rPr>
                <w:rFonts w:hint="eastAsia" w:ascii="仿宋_GB2312" w:eastAsia="仿宋_GB2312"/>
                <w:sz w:val="28"/>
                <w:szCs w:val="28"/>
              </w:rPr>
              <w:t>市县财政</w:t>
            </w:r>
          </w:p>
        </w:tc>
        <w:tc>
          <w:tcPr>
            <w:tcW w:w="1110"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795" w:type="dxa"/>
            <w:vAlign w:val="center"/>
          </w:tcPr>
          <w:p>
            <w:pPr>
              <w:rPr>
                <w:rFonts w:ascii="仿宋_GB2312" w:eastAsia="仿宋_GB2312"/>
                <w:sz w:val="28"/>
                <w:szCs w:val="28"/>
              </w:rPr>
            </w:pPr>
            <w:r>
              <w:rPr>
                <w:rFonts w:hint="eastAsia" w:ascii="仿宋_GB2312" w:eastAsia="仿宋_GB2312"/>
                <w:sz w:val="28"/>
                <w:szCs w:val="28"/>
              </w:rPr>
              <w:t>其它(2020年结余）</w:t>
            </w:r>
          </w:p>
        </w:tc>
        <w:tc>
          <w:tcPr>
            <w:tcW w:w="1457" w:type="dxa"/>
            <w:gridSpan w:val="3"/>
            <w:vAlign w:val="center"/>
          </w:tcPr>
          <w:p>
            <w:pPr>
              <w:jc w:val="center"/>
              <w:rPr>
                <w:rFonts w:ascii="仿宋_GB2312" w:eastAsia="仿宋_GB2312"/>
                <w:sz w:val="28"/>
                <w:szCs w:val="28"/>
              </w:rPr>
            </w:pPr>
            <w:r>
              <w:rPr>
                <w:rFonts w:hint="eastAsia" w:ascii="仿宋_GB2312" w:eastAsia="仿宋_GB2312"/>
                <w:sz w:val="28"/>
                <w:szCs w:val="28"/>
              </w:rPr>
              <w:t>70.40</w:t>
            </w:r>
          </w:p>
        </w:tc>
        <w:tc>
          <w:tcPr>
            <w:tcW w:w="3097" w:type="dxa"/>
            <w:gridSpan w:val="5"/>
            <w:vAlign w:val="center"/>
          </w:tcPr>
          <w:p>
            <w:pPr>
              <w:rPr>
                <w:rFonts w:ascii="仿宋_GB2312" w:eastAsia="仿宋_GB2312"/>
                <w:sz w:val="28"/>
                <w:szCs w:val="28"/>
              </w:rPr>
            </w:pPr>
            <w:r>
              <w:rPr>
                <w:rFonts w:hint="eastAsia" w:ascii="仿宋_GB2312" w:eastAsia="仿宋_GB2312"/>
                <w:sz w:val="28"/>
                <w:szCs w:val="28"/>
              </w:rPr>
              <w:t>其它（2020年结余）</w:t>
            </w:r>
          </w:p>
        </w:tc>
        <w:tc>
          <w:tcPr>
            <w:tcW w:w="1110" w:type="dxa"/>
            <w:vAlign w:val="center"/>
          </w:tcPr>
          <w:p>
            <w:pPr>
              <w:jc w:val="center"/>
              <w:rPr>
                <w:rFonts w:ascii="仿宋_GB2312" w:eastAsia="仿宋_GB2312"/>
                <w:sz w:val="28"/>
                <w:szCs w:val="28"/>
              </w:rPr>
            </w:pPr>
            <w:r>
              <w:rPr>
                <w:rFonts w:hint="eastAsia" w:ascii="仿宋_GB2312" w:eastAsia="仿宋_GB2312"/>
                <w:sz w:val="28"/>
                <w:szCs w:val="28"/>
              </w:rPr>
              <w:t>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2795" w:type="dxa"/>
            <w:vAlign w:val="center"/>
          </w:tcPr>
          <w:p>
            <w:pPr>
              <w:jc w:val="center"/>
              <w:rPr>
                <w:rFonts w:ascii="仿宋_GB2312" w:eastAsia="仿宋_GB2312"/>
                <w:sz w:val="28"/>
                <w:szCs w:val="28"/>
              </w:rPr>
            </w:pPr>
            <w:r>
              <w:rPr>
                <w:rFonts w:hint="eastAsia" w:ascii="仿宋_GB2312" w:eastAsia="仿宋_GB2312"/>
                <w:sz w:val="28"/>
                <w:szCs w:val="28"/>
              </w:rPr>
              <w:t>实际支出（万元）</w:t>
            </w:r>
          </w:p>
        </w:tc>
        <w:tc>
          <w:tcPr>
            <w:tcW w:w="5664" w:type="dxa"/>
            <w:gridSpan w:val="9"/>
            <w:vAlign w:val="center"/>
          </w:tcPr>
          <w:p>
            <w:pPr>
              <w:jc w:val="center"/>
              <w:rPr>
                <w:rFonts w:ascii="仿宋_GB2312" w:eastAsia="仿宋_GB2312"/>
                <w:sz w:val="28"/>
                <w:szCs w:val="28"/>
              </w:rPr>
            </w:pPr>
            <w:r>
              <w:rPr>
                <w:rFonts w:hint="eastAsia" w:ascii="仿宋_GB2312" w:eastAsia="仿宋_GB2312"/>
                <w:sz w:val="28"/>
                <w:szCs w:val="28"/>
              </w:rPr>
              <w:t>250.69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8459" w:type="dxa"/>
            <w:gridSpan w:val="10"/>
            <w:tcBorders>
              <w:bottom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 w:hRule="atLeast"/>
        </w:trPr>
        <w:tc>
          <w:tcPr>
            <w:tcW w:w="2795" w:type="dxa"/>
            <w:tcBorders>
              <w:bottom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支出内容</w:t>
            </w:r>
          </w:p>
          <w:p>
            <w:pPr>
              <w:spacing w:line="400" w:lineRule="exact"/>
              <w:jc w:val="center"/>
              <w:rPr>
                <w:rFonts w:ascii="仿宋_GB2312" w:eastAsia="仿宋_GB2312"/>
                <w:sz w:val="28"/>
                <w:szCs w:val="28"/>
              </w:rPr>
            </w:pPr>
            <w:r>
              <w:rPr>
                <w:rFonts w:hint="eastAsia" w:ascii="仿宋_GB2312" w:eastAsia="仿宋_GB2312"/>
                <w:sz w:val="28"/>
                <w:szCs w:val="28"/>
              </w:rPr>
              <w:t>（经济科目）</w:t>
            </w:r>
          </w:p>
        </w:tc>
        <w:tc>
          <w:tcPr>
            <w:tcW w:w="2583" w:type="dxa"/>
            <w:gridSpan w:val="4"/>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计划支出数</w:t>
            </w:r>
          </w:p>
        </w:tc>
        <w:tc>
          <w:tcPr>
            <w:tcW w:w="3081" w:type="dxa"/>
            <w:gridSpan w:val="5"/>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2795"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被装购置费（2020年结余部分）</w:t>
            </w:r>
          </w:p>
        </w:tc>
        <w:tc>
          <w:tcPr>
            <w:tcW w:w="2583" w:type="dxa"/>
            <w:gridSpan w:val="4"/>
            <w:tcBorders>
              <w:bottom w:val="single" w:color="auto" w:sz="4" w:space="0"/>
            </w:tcBorders>
          </w:tcPr>
          <w:p>
            <w:pPr>
              <w:jc w:val="center"/>
              <w:rPr>
                <w:rFonts w:ascii="仿宋_GB2312" w:eastAsia="仿宋_GB2312"/>
                <w:sz w:val="28"/>
                <w:szCs w:val="28"/>
              </w:rPr>
            </w:pPr>
          </w:p>
        </w:tc>
        <w:tc>
          <w:tcPr>
            <w:tcW w:w="3081" w:type="dxa"/>
            <w:gridSpan w:val="5"/>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795" w:type="dxa"/>
            <w:tcBorders>
              <w:bottom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其他交通工具购置</w:t>
            </w:r>
            <w:r>
              <w:rPr>
                <w:rFonts w:hint="eastAsia" w:ascii="仿宋_GB2312" w:eastAsia="仿宋_GB2312"/>
                <w:sz w:val="28"/>
                <w:szCs w:val="28"/>
              </w:rPr>
              <w:t>（2020年结余部分）</w:t>
            </w:r>
          </w:p>
        </w:tc>
        <w:tc>
          <w:tcPr>
            <w:tcW w:w="2583" w:type="dxa"/>
            <w:gridSpan w:val="4"/>
            <w:tcBorders>
              <w:bottom w:val="single" w:color="auto" w:sz="4" w:space="0"/>
            </w:tcBorders>
          </w:tcPr>
          <w:p>
            <w:pPr>
              <w:pStyle w:val="2"/>
              <w:ind w:firstLine="0" w:firstLineChars="0"/>
              <w:jc w:val="center"/>
              <w:rPr>
                <w:rFonts w:ascii="仿宋_GB2312"/>
                <w:sz w:val="28"/>
                <w:szCs w:val="28"/>
              </w:rPr>
            </w:pPr>
          </w:p>
        </w:tc>
        <w:tc>
          <w:tcPr>
            <w:tcW w:w="3081" w:type="dxa"/>
            <w:gridSpan w:val="5"/>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14.35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795" w:type="dxa"/>
            <w:tcBorders>
              <w:bottom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专用设备购置</w:t>
            </w:r>
            <w:r>
              <w:rPr>
                <w:rFonts w:hint="eastAsia" w:ascii="仿宋_GB2312" w:eastAsia="仿宋_GB2312"/>
                <w:sz w:val="28"/>
                <w:szCs w:val="28"/>
              </w:rPr>
              <w:t>（2020年结余部分）</w:t>
            </w:r>
          </w:p>
        </w:tc>
        <w:tc>
          <w:tcPr>
            <w:tcW w:w="2583" w:type="dxa"/>
            <w:gridSpan w:val="4"/>
            <w:tcBorders>
              <w:bottom w:val="single" w:color="auto" w:sz="4" w:space="0"/>
            </w:tcBorders>
          </w:tcPr>
          <w:p>
            <w:pPr>
              <w:pStyle w:val="2"/>
              <w:ind w:firstLine="0" w:firstLineChars="0"/>
              <w:jc w:val="center"/>
              <w:rPr>
                <w:rFonts w:ascii="仿宋_GB2312"/>
                <w:sz w:val="28"/>
                <w:szCs w:val="28"/>
              </w:rPr>
            </w:pPr>
          </w:p>
        </w:tc>
        <w:tc>
          <w:tcPr>
            <w:tcW w:w="3081" w:type="dxa"/>
            <w:gridSpan w:val="5"/>
            <w:tcBorders>
              <w:bottom w:val="single" w:color="auto" w:sz="4" w:space="0"/>
            </w:tcBorders>
          </w:tcPr>
          <w:p>
            <w:pPr>
              <w:jc w:val="center"/>
              <w:rPr>
                <w:rFonts w:ascii="仿宋_GB2312" w:eastAsia="仿宋_GB2312"/>
                <w:sz w:val="28"/>
                <w:szCs w:val="28"/>
              </w:rPr>
            </w:pPr>
            <w:r>
              <w:rPr>
                <w:rFonts w:hint="eastAsia" w:ascii="仿宋_GB2312"/>
                <w:sz w:val="28"/>
                <w:szCs w:val="28"/>
              </w:rPr>
              <w:t>45.37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795" w:type="dxa"/>
            <w:tcBorders>
              <w:bottom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主要用于警用装备购置及其他设备购置（2021年财政下达项目资金时，名称为“公安交警政法奖励性补助资金”，该项目可以通过指标执行情况表进行项目分类，但无法根据支付及明细信息表的</w:t>
            </w:r>
            <w:r>
              <w:rPr>
                <w:rFonts w:hint="eastAsia" w:ascii="仿宋_GB2312" w:eastAsia="仿宋_GB2312"/>
                <w:sz w:val="28"/>
                <w:szCs w:val="28"/>
              </w:rPr>
              <w:t>具体分类经济科目</w:t>
            </w:r>
            <w:r>
              <w:rPr>
                <w:rFonts w:hint="eastAsia" w:ascii="仿宋_GB2312" w:hAnsi="华文中宋" w:eastAsia="仿宋_GB2312"/>
                <w:sz w:val="28"/>
                <w:szCs w:val="28"/>
              </w:rPr>
              <w:t>）</w:t>
            </w:r>
          </w:p>
        </w:tc>
        <w:tc>
          <w:tcPr>
            <w:tcW w:w="2583" w:type="dxa"/>
            <w:gridSpan w:val="4"/>
            <w:tcBorders>
              <w:bottom w:val="single" w:color="auto" w:sz="4" w:space="0"/>
            </w:tcBorders>
            <w:vAlign w:val="center"/>
          </w:tcPr>
          <w:p>
            <w:pPr>
              <w:pStyle w:val="2"/>
              <w:ind w:firstLine="0" w:firstLineChars="0"/>
              <w:jc w:val="center"/>
              <w:rPr>
                <w:rFonts w:ascii="仿宋_GB2312"/>
                <w:sz w:val="28"/>
                <w:szCs w:val="28"/>
              </w:rPr>
            </w:pPr>
          </w:p>
        </w:tc>
        <w:tc>
          <w:tcPr>
            <w:tcW w:w="3081" w:type="dxa"/>
            <w:gridSpan w:val="5"/>
            <w:tcBorders>
              <w:bottom w:val="single" w:color="auto" w:sz="4" w:space="0"/>
            </w:tcBorders>
            <w:vAlign w:val="center"/>
          </w:tcPr>
          <w:p>
            <w:pPr>
              <w:pStyle w:val="2"/>
              <w:ind w:firstLine="0" w:firstLineChars="0"/>
              <w:jc w:val="center"/>
              <w:rPr>
                <w:rFonts w:ascii="仿宋_GB2312"/>
                <w:sz w:val="28"/>
                <w:szCs w:val="28"/>
              </w:rPr>
            </w:pPr>
            <w:r>
              <w:rPr>
                <w:rFonts w:hint="eastAsia" w:ascii="仿宋_GB2312"/>
                <w:sz w:val="28"/>
                <w:szCs w:val="28"/>
              </w:rPr>
              <w:t>190.73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795" w:type="dxa"/>
            <w:tcBorders>
              <w:bottom w:val="single" w:color="auto" w:sz="4" w:space="0"/>
            </w:tcBorders>
            <w:vAlign w:val="center"/>
          </w:tcPr>
          <w:p>
            <w:pPr>
              <w:jc w:val="center"/>
              <w:rPr>
                <w:rFonts w:ascii="仿宋_GB2312" w:eastAsia="仿宋_GB2312"/>
                <w:sz w:val="28"/>
                <w:szCs w:val="28"/>
              </w:rPr>
            </w:pPr>
            <w:r>
              <w:rPr>
                <w:rFonts w:hint="eastAsia" w:ascii="仿宋_GB2312" w:hAnsi="华文中宋" w:eastAsia="仿宋_GB2312"/>
                <w:sz w:val="28"/>
                <w:szCs w:val="28"/>
              </w:rPr>
              <w:t>支出合计</w:t>
            </w:r>
            <w:r>
              <w:rPr>
                <w:rFonts w:hint="eastAsia" w:ascii="仿宋_GB2312" w:eastAsia="仿宋_GB2312"/>
                <w:sz w:val="28"/>
                <w:szCs w:val="28"/>
              </w:rPr>
              <w:t>（万元）</w:t>
            </w:r>
          </w:p>
        </w:tc>
        <w:tc>
          <w:tcPr>
            <w:tcW w:w="2583" w:type="dxa"/>
            <w:gridSpan w:val="4"/>
            <w:tcBorders>
              <w:bottom w:val="single" w:color="auto" w:sz="4" w:space="0"/>
            </w:tcBorders>
          </w:tcPr>
          <w:p>
            <w:pPr>
              <w:pStyle w:val="2"/>
              <w:ind w:firstLine="0" w:firstLineChars="0"/>
              <w:jc w:val="center"/>
              <w:rPr>
                <w:rFonts w:ascii="仿宋_GB2312"/>
                <w:sz w:val="28"/>
                <w:szCs w:val="28"/>
              </w:rPr>
            </w:pPr>
          </w:p>
        </w:tc>
        <w:tc>
          <w:tcPr>
            <w:tcW w:w="3081" w:type="dxa"/>
            <w:gridSpan w:val="5"/>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250.69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459" w:type="dxa"/>
            <w:gridSpan w:val="10"/>
            <w:tcBorders>
              <w:bottom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三、评价报告摘要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0" w:hRule="atLeast"/>
        </w:trPr>
        <w:tc>
          <w:tcPr>
            <w:tcW w:w="2795"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概况</w:t>
            </w:r>
          </w:p>
        </w:tc>
        <w:tc>
          <w:tcPr>
            <w:tcW w:w="5664" w:type="dxa"/>
            <w:gridSpan w:val="9"/>
            <w:tcBorders>
              <w:bottom w:val="single" w:color="auto" w:sz="4" w:space="0"/>
            </w:tcBorders>
            <w:vAlign w:val="center"/>
          </w:tcPr>
          <w:p>
            <w:pPr>
              <w:pStyle w:val="2"/>
              <w:ind w:firstLine="0" w:firstLineChars="0"/>
              <w:rPr>
                <w:rFonts w:ascii="仿宋_GB2312"/>
                <w:sz w:val="28"/>
                <w:szCs w:val="28"/>
                <w:highlight w:val="yellow"/>
              </w:rPr>
            </w:pPr>
            <w:r>
              <w:rPr>
                <w:rFonts w:hint="eastAsia" w:ascii="仿宋_GB2312"/>
                <w:sz w:val="28"/>
                <w:szCs w:val="28"/>
              </w:rPr>
              <w:t>维护道路交通秩序，预防和减少交通事故，保护人身安全，保护公民、法人和其他组织的财产安全及其他合法权益，提高通行效率。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2795" w:type="dxa"/>
            <w:vAlign w:val="center"/>
          </w:tcPr>
          <w:p>
            <w:pPr>
              <w:jc w:val="center"/>
              <w:rPr>
                <w:rFonts w:ascii="仿宋_GB2312" w:eastAsia="仿宋_GB2312"/>
                <w:sz w:val="28"/>
                <w:szCs w:val="28"/>
              </w:rPr>
            </w:pPr>
            <w:r>
              <w:rPr>
                <w:rFonts w:hint="eastAsia" w:ascii="仿宋_GB2312" w:eastAsia="仿宋_GB2312"/>
                <w:sz w:val="28"/>
                <w:szCs w:val="28"/>
              </w:rPr>
              <w:t>项目绩效目标</w:t>
            </w:r>
          </w:p>
        </w:tc>
        <w:tc>
          <w:tcPr>
            <w:tcW w:w="2583" w:type="dxa"/>
            <w:gridSpan w:val="4"/>
            <w:tcBorders>
              <w:bottom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预  期</w:t>
            </w:r>
          </w:p>
        </w:tc>
        <w:tc>
          <w:tcPr>
            <w:tcW w:w="3081" w:type="dxa"/>
            <w:gridSpan w:val="5"/>
            <w:tcBorders>
              <w:bottom w:val="single" w:color="auto" w:sz="4" w:space="0"/>
            </w:tcBorders>
          </w:tcPr>
          <w:p>
            <w:pPr>
              <w:jc w:val="center"/>
              <w:rPr>
                <w:rFonts w:eastAsia="仿宋_GB2312"/>
              </w:rPr>
            </w:pPr>
            <w:r>
              <w:rPr>
                <w:rFonts w:hint="eastAsia" w:ascii="仿宋_GB2312" w:eastAsia="仿宋_GB2312"/>
                <w:b/>
                <w:sz w:val="28"/>
                <w:szCs w:val="28"/>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6" w:hRule="atLeast"/>
        </w:trPr>
        <w:tc>
          <w:tcPr>
            <w:tcW w:w="2795"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完成情况</w:t>
            </w:r>
          </w:p>
        </w:tc>
        <w:tc>
          <w:tcPr>
            <w:tcW w:w="2583" w:type="dxa"/>
            <w:gridSpan w:val="4"/>
            <w:tcBorders>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维护道路交通秩序，预防和减少交通事故，保护人身安全，保护公民、法人和其他组织的财产安全及其他合法权益，提高通行效率。</w:t>
            </w:r>
          </w:p>
        </w:tc>
        <w:tc>
          <w:tcPr>
            <w:tcW w:w="3081" w:type="dxa"/>
            <w:gridSpan w:val="5"/>
            <w:tcBorders>
              <w:bottom w:val="single" w:color="auto" w:sz="4" w:space="0"/>
            </w:tcBorders>
            <w:vAlign w:val="center"/>
          </w:tcPr>
          <w:p>
            <w:pPr>
              <w:rPr>
                <w:rFonts w:ascii="仿宋_GB2312" w:eastAsia="仿宋_GB2312"/>
                <w:sz w:val="28"/>
                <w:szCs w:val="28"/>
              </w:rPr>
            </w:pPr>
            <w:r>
              <w:rPr>
                <w:rFonts w:hint="eastAsia" w:ascii="仿宋_GB2312" w:hAnsi="华文中宋" w:eastAsia="仿宋_GB2312"/>
                <w:sz w:val="28"/>
                <w:szCs w:val="28"/>
              </w:rPr>
              <w:t>购置</w:t>
            </w:r>
            <w:r>
              <w:rPr>
                <w:rFonts w:hint="eastAsia" w:ascii="仿宋_GB2312" w:eastAsia="仿宋_GB2312"/>
                <w:sz w:val="28"/>
                <w:szCs w:val="28"/>
              </w:rPr>
              <w:t>警用摩托车10辆、酒精检测仪8台、酒精排查仪14台、红绿灯项目首付款、智能案卷柜（办案中队）、交通违法管理平台、警用交通事故勘察车、警用巡逻车、执法记录仪采集站、车管所用身份证阅读器、塑封机等</w:t>
            </w:r>
            <w:r>
              <w:rPr>
                <w:rFonts w:hint="eastAsia" w:ascii="仿宋_GB2312" w:hAnsi="华文中宋" w:eastAsia="仿宋_GB2312"/>
                <w:sz w:val="28"/>
                <w:szCs w:val="28"/>
              </w:rPr>
              <w:t>警用装备及棉马甲、单警装备、分体雨衣、路障救生圈、脚叉等其他设备，共支付</w:t>
            </w:r>
            <w:r>
              <w:rPr>
                <w:rFonts w:hint="eastAsia" w:ascii="仿宋_GB2312" w:eastAsia="仿宋_GB2312"/>
                <w:sz w:val="28"/>
                <w:szCs w:val="28"/>
              </w:rPr>
              <w:t>250.69万元。保障了装备购置经费的运转，维护道路交通秩序，预防和减少交通事故，保护人民群众生命财产安全。</w:t>
            </w:r>
          </w:p>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1" w:hRule="atLeast"/>
        </w:trPr>
        <w:tc>
          <w:tcPr>
            <w:tcW w:w="2795"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评价结论</w:t>
            </w:r>
          </w:p>
        </w:tc>
        <w:tc>
          <w:tcPr>
            <w:tcW w:w="5664" w:type="dxa"/>
            <w:gridSpan w:val="9"/>
            <w:tcBorders>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评价组通过对收集的资料进行分析,对照评价指标进行综合评价,得出“业务装备经费”项目绩效评价得分95分,等次为优。“业务装备经费”项目决策规范,组织实施得当,并取得了如下绩效:</w:t>
            </w:r>
          </w:p>
          <w:p>
            <w:pPr>
              <w:ind w:firstLine="560" w:firstLineChars="200"/>
              <w:rPr>
                <w:rFonts w:ascii="仿宋_GB2312" w:eastAsia="仿宋"/>
                <w:sz w:val="28"/>
                <w:szCs w:val="28"/>
              </w:rPr>
            </w:pPr>
            <w:r>
              <w:rPr>
                <w:rFonts w:hint="eastAsia" w:ascii="仿宋_GB2312" w:eastAsia="仿宋_GB2312"/>
                <w:sz w:val="28"/>
                <w:szCs w:val="28"/>
              </w:rPr>
              <w:t>“业务装备经费”项目实施后，</w:t>
            </w:r>
            <w:r>
              <w:rPr>
                <w:rFonts w:ascii="仿宋" w:hAnsi="仿宋" w:eastAsia="仿宋" w:cs="仿宋"/>
                <w:color w:val="212529"/>
                <w:sz w:val="30"/>
                <w:szCs w:val="30"/>
                <w:shd w:val="clear" w:color="auto" w:fill="FFFFFF"/>
              </w:rPr>
              <w:t>确保重点时期全区道路交通安全形势平稳</w:t>
            </w:r>
            <w:r>
              <w:rPr>
                <w:rFonts w:hint="eastAsia" w:ascii="仿宋" w:hAnsi="仿宋" w:eastAsia="仿宋" w:cs="仿宋"/>
                <w:color w:val="212529"/>
                <w:sz w:val="30"/>
                <w:szCs w:val="30"/>
                <w:shd w:val="clear" w:color="auto" w:fill="FFFFFF"/>
              </w:rPr>
              <w:t>，</w:t>
            </w:r>
            <w:r>
              <w:rPr>
                <w:rFonts w:ascii="仿宋" w:hAnsi="仿宋" w:eastAsia="仿宋" w:cs="仿宋"/>
                <w:color w:val="212529"/>
                <w:sz w:val="30"/>
                <w:szCs w:val="30"/>
                <w:shd w:val="clear" w:color="auto" w:fill="FFFFFF"/>
              </w:rPr>
              <w:t>加大路面管理监控力度，努力消除路面事故隐患</w:t>
            </w:r>
            <w:r>
              <w:rPr>
                <w:rFonts w:hint="eastAsia" w:ascii="仿宋_GB2312" w:eastAsia="仿宋_GB2312"/>
                <w:sz w:val="28"/>
                <w:szCs w:val="28"/>
              </w:rPr>
              <w:t>；增加了</w:t>
            </w:r>
            <w:r>
              <w:rPr>
                <w:rFonts w:ascii="仿宋" w:hAnsi="仿宋" w:eastAsia="仿宋" w:cs="仿宋"/>
                <w:color w:val="212529"/>
                <w:sz w:val="30"/>
                <w:szCs w:val="30"/>
                <w:shd w:val="clear" w:color="auto" w:fill="FFFFFF"/>
              </w:rPr>
              <w:t>流动巡逻与重点路段设点查验的方式加大对重点车辆及重点违法行为的查处提高拦查的频率，加大路面管理、监控和查缉力度</w:t>
            </w:r>
            <w:r>
              <w:rPr>
                <w:rFonts w:hint="eastAsia" w:ascii="仿宋" w:hAnsi="仿宋" w:eastAsia="仿宋" w:cs="仿宋"/>
                <w:color w:val="212529"/>
                <w:sz w:val="30"/>
                <w:szCs w:val="30"/>
                <w:shd w:val="clear" w:color="auto" w:fill="FFFFFF"/>
              </w:rPr>
              <w:t>；切实开展好道路交通管理工作，积极预防和减少交通事故。维护道路交通秩序，指挥疏导交通，努力提高通行效率，依法纠正和处罚交通违法行为。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1" w:hRule="atLeast"/>
        </w:trPr>
        <w:tc>
          <w:tcPr>
            <w:tcW w:w="2795" w:type="dxa"/>
            <w:vAlign w:val="center"/>
          </w:tcPr>
          <w:p>
            <w:pPr>
              <w:widowControl w:val="0"/>
              <w:jc w:val="center"/>
              <w:rPr>
                <w:rFonts w:ascii="仿宋_GB2312" w:eastAsia="仿宋_GB2312"/>
                <w:kern w:val="2"/>
                <w:sz w:val="28"/>
                <w:szCs w:val="28"/>
              </w:rPr>
            </w:pPr>
            <w:r>
              <w:rPr>
                <w:rFonts w:hint="eastAsia" w:ascii="仿宋_GB2312" w:eastAsia="仿宋_GB2312"/>
                <w:kern w:val="2"/>
                <w:sz w:val="28"/>
                <w:szCs w:val="28"/>
              </w:rPr>
              <w:t>主要绩效</w:t>
            </w:r>
          </w:p>
          <w:p>
            <w:pPr>
              <w:jc w:val="center"/>
              <w:rPr>
                <w:rFonts w:ascii="仿宋_GB2312" w:eastAsia="仿宋_GB2312"/>
                <w:sz w:val="28"/>
                <w:szCs w:val="28"/>
              </w:rPr>
            </w:pPr>
            <w:r>
              <w:rPr>
                <w:rFonts w:hint="eastAsia" w:ascii="仿宋_GB2312" w:eastAsia="仿宋_GB2312"/>
                <w:kern w:val="2"/>
                <w:sz w:val="28"/>
                <w:szCs w:val="28"/>
              </w:rPr>
              <w:t>情况</w:t>
            </w:r>
          </w:p>
        </w:tc>
        <w:tc>
          <w:tcPr>
            <w:tcW w:w="5664" w:type="dxa"/>
            <w:gridSpan w:val="9"/>
            <w:tcBorders>
              <w:bottom w:val="single" w:color="auto" w:sz="4" w:space="0"/>
            </w:tcBorders>
            <w:vAlign w:val="center"/>
          </w:tcPr>
          <w:p>
            <w:r>
              <w:rPr>
                <w:rFonts w:ascii="仿宋_GB2312" w:eastAsia="仿宋_GB2312" w:cs="仿宋_GB2312"/>
                <w:sz w:val="28"/>
                <w:szCs w:val="28"/>
              </w:rPr>
              <w:t>资金计划及到位情况：该项目截至2021年12月31日计划资金均由省财政局实际到位；实际到位</w:t>
            </w:r>
            <w:r>
              <w:rPr>
                <w:rFonts w:hint="eastAsia" w:ascii="仿宋_GB2312" w:eastAsia="仿宋_GB2312" w:cs="仿宋_GB2312"/>
                <w:sz w:val="28"/>
                <w:szCs w:val="28"/>
              </w:rPr>
              <w:t>261.40</w:t>
            </w:r>
            <w:r>
              <w:rPr>
                <w:rFonts w:ascii="仿宋_GB2312" w:eastAsia="仿宋_GB2312" w:cs="仿宋_GB2312"/>
                <w:sz w:val="28"/>
                <w:szCs w:val="28"/>
              </w:rPr>
              <w:t>万元，上年度结余结转资金</w:t>
            </w:r>
            <w:r>
              <w:rPr>
                <w:rFonts w:hint="eastAsia" w:ascii="仿宋_GB2312" w:eastAsia="仿宋_GB2312" w:cs="仿宋_GB2312"/>
                <w:sz w:val="28"/>
                <w:szCs w:val="28"/>
              </w:rPr>
              <w:t>70.40</w:t>
            </w:r>
            <w:r>
              <w:rPr>
                <w:rFonts w:ascii="仿宋_GB2312" w:eastAsia="仿宋_GB2312" w:cs="仿宋_GB2312"/>
                <w:sz w:val="28"/>
                <w:szCs w:val="28"/>
              </w:rPr>
              <w:t>万元，本年预算指标</w:t>
            </w:r>
            <w:r>
              <w:rPr>
                <w:rFonts w:hint="eastAsia" w:ascii="仿宋_GB2312" w:eastAsia="仿宋_GB2312" w:cs="仿宋_GB2312"/>
                <w:sz w:val="28"/>
                <w:szCs w:val="28"/>
              </w:rPr>
              <w:t>191.00</w:t>
            </w:r>
            <w:r>
              <w:rPr>
                <w:rFonts w:ascii="仿宋_GB2312" w:eastAsia="仿宋_GB2312" w:cs="仿宋_GB2312"/>
                <w:sz w:val="28"/>
                <w:szCs w:val="28"/>
              </w:rPr>
              <w:t>元，年中无调整。资金到位率100.00%。</w:t>
            </w:r>
          </w:p>
          <w:p>
            <w:pPr>
              <w:rPr>
                <w:rFonts w:ascii="仿宋_GB2312" w:eastAsia="仿宋_GB2312"/>
                <w:sz w:val="28"/>
                <w:szCs w:val="28"/>
              </w:rPr>
            </w:pPr>
            <w:r>
              <w:rPr>
                <w:rFonts w:hint="eastAsia" w:ascii="仿宋_GB2312" w:eastAsia="仿宋_GB2312"/>
                <w:sz w:val="28"/>
                <w:szCs w:val="28"/>
              </w:rPr>
              <w:t>资金使用情况：截至2021年12月31日资金均根据立项要求使用，资金使用率95.90%，有10.71万元结余。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trPr>
        <w:tc>
          <w:tcPr>
            <w:tcW w:w="2795" w:type="dxa"/>
            <w:vAlign w:val="center"/>
          </w:tcPr>
          <w:p>
            <w:pPr>
              <w:jc w:val="center"/>
              <w:rPr>
                <w:rFonts w:ascii="仿宋_GB2312" w:eastAsia="仿宋_GB2312"/>
                <w:sz w:val="28"/>
                <w:szCs w:val="28"/>
              </w:rPr>
            </w:pPr>
            <w:r>
              <w:rPr>
                <w:rFonts w:hint="eastAsia" w:ascii="仿宋_GB2312" w:eastAsia="仿宋_GB2312"/>
                <w:kern w:val="2"/>
                <w:sz w:val="28"/>
                <w:szCs w:val="28"/>
              </w:rPr>
              <w:t>主要问题及原因分析</w:t>
            </w:r>
          </w:p>
        </w:tc>
        <w:tc>
          <w:tcPr>
            <w:tcW w:w="5664" w:type="dxa"/>
            <w:gridSpan w:val="9"/>
            <w:tcBorders>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资金使用未超过预算，结余10.71万元，导致批复资金与实际支出资金不相符。</w:t>
            </w:r>
          </w:p>
          <w:p>
            <w:pPr>
              <w:rPr>
                <w:rFonts w:ascii="仿宋_GB2312" w:eastAsia="仿宋_GB2312"/>
                <w:sz w:val="28"/>
                <w:szCs w:val="28"/>
              </w:rPr>
            </w:pPr>
            <w:r>
              <w:rPr>
                <w:rFonts w:hint="eastAsia" w:ascii="仿宋_GB2312" w:eastAsia="仿宋_GB2312"/>
                <w:sz w:val="28"/>
                <w:szCs w:val="28"/>
              </w:rPr>
              <w:t>经核查分析：主要系年末国库集中支付系统提前关账导致多笔经费未支付。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6" w:hRule="atLeast"/>
        </w:trPr>
        <w:tc>
          <w:tcPr>
            <w:tcW w:w="2795"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相关建议</w:t>
            </w:r>
          </w:p>
        </w:tc>
        <w:tc>
          <w:tcPr>
            <w:tcW w:w="5664" w:type="dxa"/>
            <w:gridSpan w:val="9"/>
            <w:tcBorders>
              <w:bottom w:val="single" w:color="auto" w:sz="4" w:space="0"/>
            </w:tcBorders>
            <w:vAlign w:val="center"/>
          </w:tcPr>
          <w:p>
            <w:pPr>
              <w:jc w:val="left"/>
              <w:rPr>
                <w:rFonts w:eastAsia="仿宋"/>
              </w:rPr>
            </w:pPr>
            <w:r>
              <w:rPr>
                <w:rFonts w:ascii="仿宋" w:hAnsi="仿宋" w:eastAsia="仿宋" w:cs="仿宋"/>
                <w:color w:val="212529"/>
                <w:sz w:val="30"/>
                <w:szCs w:val="30"/>
                <w:shd w:val="clear" w:color="auto" w:fill="FFFFFF"/>
              </w:rPr>
              <w:t>严格加强项目预算执行管理，建立项目执行长效管理机制，依法合规加快项目预算执行进度，保障资金使用安全，提高资金使用效益，根据国家有关财经法律法规制度和财政部、公安部预算管理有关规定，结合交警大队实际，制定财务管理办法，严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trPr>
        <w:tc>
          <w:tcPr>
            <w:tcW w:w="8459" w:type="dxa"/>
            <w:gridSpan w:val="10"/>
            <w:vAlign w:val="center"/>
          </w:tcPr>
          <w:p>
            <w:pPr>
              <w:ind w:firstLine="137" w:firstLineChars="49"/>
              <w:jc w:val="center"/>
              <w:rPr>
                <w:rFonts w:ascii="仿宋_GB2312" w:eastAsia="仿宋_GB2312"/>
                <w:b/>
                <w:sz w:val="28"/>
                <w:szCs w:val="28"/>
              </w:rPr>
            </w:pPr>
            <w:r>
              <w:rPr>
                <w:rFonts w:hint="eastAsia" w:ascii="仿宋_GB2312" w:eastAsia="仿宋_GB2312"/>
                <w:b/>
                <w:sz w:val="28"/>
                <w:szCs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2795" w:type="dxa"/>
          </w:tcPr>
          <w:p>
            <w:pPr>
              <w:jc w:val="center"/>
              <w:rPr>
                <w:rFonts w:ascii="仿宋_GB2312" w:eastAsia="仿宋_GB2312"/>
                <w:sz w:val="28"/>
                <w:szCs w:val="28"/>
              </w:rPr>
            </w:pPr>
            <w:r>
              <w:rPr>
                <w:rFonts w:hint="eastAsia" w:ascii="仿宋_GB2312" w:eastAsia="仿宋_GB2312"/>
                <w:sz w:val="28"/>
                <w:szCs w:val="28"/>
              </w:rPr>
              <w:t>姓名</w:t>
            </w:r>
          </w:p>
        </w:tc>
        <w:tc>
          <w:tcPr>
            <w:tcW w:w="972" w:type="dxa"/>
            <w:vAlign w:val="center"/>
          </w:tcPr>
          <w:p>
            <w:pPr>
              <w:jc w:val="center"/>
              <w:rPr>
                <w:rFonts w:ascii="仿宋_GB2312" w:eastAsia="仿宋_GB2312"/>
                <w:sz w:val="28"/>
                <w:szCs w:val="28"/>
              </w:rPr>
            </w:pPr>
            <w:r>
              <w:rPr>
                <w:rFonts w:hint="eastAsia" w:ascii="仿宋_GB2312" w:eastAsia="仿宋_GB2312"/>
                <w:sz w:val="28"/>
                <w:szCs w:val="28"/>
              </w:rPr>
              <w:t>职称/职务</w:t>
            </w:r>
          </w:p>
        </w:tc>
        <w:tc>
          <w:tcPr>
            <w:tcW w:w="2880" w:type="dxa"/>
            <w:gridSpan w:val="6"/>
            <w:vAlign w:val="center"/>
          </w:tcPr>
          <w:p>
            <w:pPr>
              <w:jc w:val="center"/>
              <w:rPr>
                <w:rFonts w:ascii="仿宋_GB2312" w:eastAsia="仿宋_GB2312"/>
                <w:sz w:val="28"/>
                <w:szCs w:val="28"/>
              </w:rPr>
            </w:pPr>
            <w:r>
              <w:rPr>
                <w:rFonts w:hint="eastAsia" w:ascii="仿宋_GB2312" w:eastAsia="仿宋_GB2312"/>
                <w:sz w:val="28"/>
                <w:szCs w:val="28"/>
              </w:rPr>
              <w:t>单  位</w:t>
            </w:r>
          </w:p>
        </w:tc>
        <w:tc>
          <w:tcPr>
            <w:tcW w:w="1812" w:type="dxa"/>
            <w:gridSpan w:val="2"/>
            <w:vAlign w:val="center"/>
          </w:tcPr>
          <w:p>
            <w:pPr>
              <w:jc w:val="center"/>
              <w:rPr>
                <w:rFonts w:ascii="仿宋_GB2312" w:eastAsia="仿宋_GB2312"/>
                <w:sz w:val="28"/>
                <w:szCs w:val="28"/>
              </w:rPr>
            </w:pPr>
            <w:r>
              <w:rPr>
                <w:rFonts w:hint="eastAsia" w:ascii="仿宋_GB2312" w:eastAsia="仿宋_GB2312"/>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795" w:type="dxa"/>
          </w:tcPr>
          <w:p>
            <w:pPr>
              <w:jc w:val="center"/>
              <w:rPr>
                <w:rFonts w:ascii="仿宋_GB2312" w:eastAsia="仿宋_GB2312"/>
                <w:sz w:val="28"/>
                <w:szCs w:val="28"/>
              </w:rPr>
            </w:pPr>
            <w:r>
              <w:rPr>
                <w:rFonts w:hint="eastAsia" w:ascii="仿宋_GB2312" w:eastAsia="仿宋_GB2312"/>
                <w:sz w:val="28"/>
                <w:szCs w:val="28"/>
              </w:rPr>
              <w:t>蓝娟葱</w:t>
            </w:r>
          </w:p>
        </w:tc>
        <w:tc>
          <w:tcPr>
            <w:tcW w:w="972" w:type="dxa"/>
          </w:tcPr>
          <w:p>
            <w:pPr>
              <w:jc w:val="center"/>
              <w:rPr>
                <w:rFonts w:ascii="仿宋_GB2312" w:eastAsia="仿宋_GB2312"/>
                <w:sz w:val="28"/>
                <w:szCs w:val="28"/>
              </w:rPr>
            </w:pPr>
            <w:r>
              <w:rPr>
                <w:rFonts w:hint="eastAsia" w:ascii="仿宋_GB2312" w:eastAsia="仿宋_GB2312"/>
                <w:sz w:val="28"/>
                <w:szCs w:val="28"/>
              </w:rPr>
              <w:t>会计师</w:t>
            </w:r>
          </w:p>
        </w:tc>
        <w:tc>
          <w:tcPr>
            <w:tcW w:w="2880" w:type="dxa"/>
            <w:gridSpan w:val="6"/>
          </w:tcPr>
          <w:p>
            <w:pPr>
              <w:rPr>
                <w:rFonts w:ascii="仿宋_GB2312" w:eastAsia="仿宋_GB2312"/>
                <w:sz w:val="28"/>
                <w:szCs w:val="28"/>
              </w:rPr>
            </w:pPr>
            <w:r>
              <w:rPr>
                <w:rFonts w:hint="eastAsia" w:ascii="仿宋_GB2312" w:eastAsia="仿宋_GB2312"/>
                <w:sz w:val="28"/>
                <w:szCs w:val="28"/>
              </w:rPr>
              <w:t>丽水伟峰税务师事务所（普通合伙）</w:t>
            </w:r>
          </w:p>
        </w:tc>
        <w:tc>
          <w:tcPr>
            <w:tcW w:w="1812" w:type="dxa"/>
            <w:gridSpan w:val="2"/>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795" w:type="dxa"/>
          </w:tcPr>
          <w:p>
            <w:pPr>
              <w:jc w:val="center"/>
              <w:rPr>
                <w:rFonts w:ascii="仿宋_GB2312" w:eastAsia="仿宋_GB2312"/>
                <w:sz w:val="28"/>
                <w:szCs w:val="28"/>
              </w:rPr>
            </w:pPr>
            <w:r>
              <w:rPr>
                <w:rFonts w:ascii="仿宋_GB2312" w:eastAsia="仿宋_GB2312"/>
                <w:sz w:val="28"/>
                <w:szCs w:val="28"/>
              </w:rPr>
              <w:t>程慧婧</w:t>
            </w:r>
          </w:p>
        </w:tc>
        <w:tc>
          <w:tcPr>
            <w:tcW w:w="972" w:type="dxa"/>
          </w:tcPr>
          <w:p>
            <w:pPr>
              <w:jc w:val="center"/>
              <w:rPr>
                <w:rFonts w:ascii="仿宋_GB2312" w:eastAsia="仿宋_GB2312"/>
                <w:sz w:val="28"/>
                <w:szCs w:val="28"/>
              </w:rPr>
            </w:pPr>
            <w:r>
              <w:rPr>
                <w:rFonts w:hint="eastAsia" w:ascii="仿宋_GB2312" w:eastAsia="仿宋_GB2312"/>
                <w:sz w:val="28"/>
                <w:szCs w:val="28"/>
              </w:rPr>
              <w:t>会计师</w:t>
            </w:r>
          </w:p>
        </w:tc>
        <w:tc>
          <w:tcPr>
            <w:tcW w:w="2880" w:type="dxa"/>
            <w:gridSpan w:val="6"/>
          </w:tcPr>
          <w:p>
            <w:pPr>
              <w:rPr>
                <w:rFonts w:ascii="仿宋_GB2312" w:eastAsia="仿宋_GB2312"/>
                <w:sz w:val="28"/>
                <w:szCs w:val="28"/>
              </w:rPr>
            </w:pPr>
            <w:r>
              <w:rPr>
                <w:rFonts w:hint="eastAsia" w:ascii="仿宋_GB2312" w:eastAsia="仿宋_GB2312"/>
                <w:sz w:val="28"/>
                <w:szCs w:val="28"/>
              </w:rPr>
              <w:t>丽水伟峰税务师事务所（普通合伙）</w:t>
            </w:r>
          </w:p>
        </w:tc>
        <w:tc>
          <w:tcPr>
            <w:tcW w:w="1812" w:type="dxa"/>
            <w:gridSpan w:val="2"/>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6" w:hRule="atLeast"/>
        </w:trPr>
        <w:tc>
          <w:tcPr>
            <w:tcW w:w="8459" w:type="dxa"/>
            <w:gridSpan w:val="10"/>
            <w:tcBorders>
              <w:bottom w:val="single" w:color="auto" w:sz="4" w:space="0"/>
            </w:tcBorders>
          </w:tcPr>
          <w:p>
            <w:pPr>
              <w:rPr>
                <w:rFonts w:ascii="仿宋_GB2312" w:eastAsia="仿宋_GB2312"/>
                <w:sz w:val="28"/>
                <w:szCs w:val="28"/>
              </w:rPr>
            </w:pPr>
            <w:r>
              <w:rPr>
                <w:rFonts w:hint="eastAsia" w:ascii="仿宋_GB2312" w:eastAsia="仿宋_GB2312"/>
                <w:sz w:val="28"/>
                <w:szCs w:val="28"/>
              </w:rPr>
              <w:t xml:space="preserve">填报人（签字）：         </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年   月   日</w:t>
            </w:r>
          </w:p>
          <w:p>
            <w:pPr>
              <w:rPr>
                <w:rFonts w:ascii="仿宋_GB2312" w:eastAsia="仿宋_GB2312"/>
                <w:sz w:val="28"/>
                <w:szCs w:val="28"/>
              </w:rPr>
            </w:pPr>
            <w:r>
              <w:rPr>
                <w:rFonts w:hint="eastAsia" w:ascii="仿宋_GB2312" w:eastAsia="仿宋_GB2312"/>
                <w:sz w:val="28"/>
                <w:szCs w:val="28"/>
              </w:rPr>
              <w:t>评价组组长（签字）：</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年   月   日</w:t>
            </w:r>
          </w:p>
          <w:p>
            <w:pPr>
              <w:rPr>
                <w:rFonts w:ascii="仿宋_GB2312" w:eastAsia="仿宋_GB2312"/>
                <w:sz w:val="28"/>
                <w:szCs w:val="28"/>
              </w:rPr>
            </w:pPr>
            <w:r>
              <w:rPr>
                <w:rFonts w:hint="eastAsia" w:ascii="仿宋_GB2312" w:eastAsia="仿宋_GB2312"/>
                <w:sz w:val="28"/>
                <w:szCs w:val="28"/>
              </w:rPr>
              <w:t>评价机构负责人（签字并盖章）：</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年   月   日</w:t>
            </w:r>
          </w:p>
        </w:tc>
      </w:tr>
    </w:tbl>
    <w:p>
      <w:pPr>
        <w:autoSpaceDE/>
        <w:autoSpaceDN/>
        <w:adjustRightInd/>
        <w:spacing w:line="600" w:lineRule="exact"/>
        <w:jc w:val="center"/>
        <w:rPr>
          <w:rFonts w:ascii="方正小标宋简体" w:hAnsi="方正小标宋简体" w:eastAsia="方正小标宋简体" w:cs="方正小标宋简体"/>
          <w:color w:val="000000"/>
          <w:spacing w:val="7"/>
          <w:sz w:val="32"/>
          <w:szCs w:val="32"/>
        </w:rPr>
      </w:pPr>
    </w:p>
    <w:p>
      <w:pPr>
        <w:autoSpaceDE/>
        <w:autoSpaceDN/>
        <w:adjustRightInd/>
        <w:spacing w:line="600" w:lineRule="exact"/>
        <w:jc w:val="center"/>
        <w:rPr>
          <w:rFonts w:ascii="方正小标宋简体" w:hAnsi="方正小标宋简体" w:eastAsia="方正小标宋简体" w:cs="方正小标宋简体"/>
          <w:color w:val="000000"/>
          <w:spacing w:val="7"/>
          <w:sz w:val="32"/>
          <w:szCs w:val="32"/>
        </w:rPr>
      </w:pPr>
      <w:r>
        <w:rPr>
          <w:rFonts w:hint="eastAsia" w:ascii="方正小标宋简体" w:hAnsi="方正小标宋简体" w:eastAsia="方正小标宋简体" w:cs="方正小标宋简体"/>
          <w:color w:val="000000"/>
          <w:spacing w:val="7"/>
          <w:sz w:val="32"/>
          <w:szCs w:val="32"/>
        </w:rPr>
        <w:t>报告综述（文字部分）</w:t>
      </w:r>
    </w:p>
    <w:p>
      <w:pPr>
        <w:autoSpaceDE/>
        <w:autoSpaceDN/>
        <w:adjustRightInd/>
        <w:spacing w:line="600" w:lineRule="exact"/>
        <w:ind w:firstLine="560" w:firstLineChars="200"/>
        <w:jc w:val="left"/>
        <w:rPr>
          <w:rFonts w:ascii="仿宋_GB2312" w:eastAsia="仿宋_GB2312"/>
          <w:sz w:val="28"/>
          <w:szCs w:val="28"/>
        </w:rPr>
      </w:pPr>
      <w:r>
        <w:rPr>
          <w:rFonts w:hint="eastAsia" w:ascii="仿宋_GB2312" w:eastAsia="仿宋_GB2312"/>
          <w:sz w:val="28"/>
          <w:szCs w:val="28"/>
        </w:rPr>
        <w:t xml:space="preserve">为进一步加强和规范“业务装备经费”项目的管理，科学合理使用资金，提升经费项目资金使用绩效，根据《景宁畲族自治县财政局关于做好2021年项目支出绩效自评工作的通知》（景财监督〔2021〕144号）文件要求，按照《浙江省项目支出绩效评价办法》(浙财监督【2020】11号)、《中共景宁畲族自治县委县政府关于全面推进预算绩效管理的实施意见》（景委发【2019】45号）和《景宁畲族自治县财政局办公室关于印发预算绩效管理工作规程的通知》(景财办发【2020】83号)等文件的有关规定，并结合“业务装备经费”项目资金使用的实际情况，我们制定出规范的项目评价指标和标准，对“业务装备经费”项目进行绩效评价。  </w:t>
      </w:r>
    </w:p>
    <w:p>
      <w:pPr>
        <w:autoSpaceDE/>
        <w:autoSpaceDN/>
        <w:adjustRightInd/>
        <w:spacing w:line="600" w:lineRule="exact"/>
        <w:ind w:firstLine="560" w:firstLineChars="200"/>
        <w:jc w:val="left"/>
        <w:rPr>
          <w:rFonts w:ascii="仿宋_GB2312" w:eastAsia="仿宋_GB2312"/>
          <w:sz w:val="28"/>
          <w:szCs w:val="28"/>
        </w:rPr>
      </w:pPr>
      <w:r>
        <w:rPr>
          <w:rFonts w:hint="eastAsia" w:ascii="仿宋_GB2312" w:eastAsia="仿宋_GB2312"/>
          <w:sz w:val="28"/>
          <w:szCs w:val="28"/>
        </w:rPr>
        <w:t>为做好这次绩效评价工作，景宁畲族自治县公安局交通警察大队委托丽水伟峰税务师事务所（普通合伙）成立绩效自评小组。我们在了解、收集相关信息和资料的基础上，通过查阅资料等方式，全面掌握了“业务装备经费”项目的实施与绩效情况，在此基础上，对照评价指标和标准进行评价和打分，现将“业务装备经费”项目绩效评价情况报告如下：</w:t>
      </w:r>
    </w:p>
    <w:p>
      <w:pPr>
        <w:shd w:val="clear" w:color="auto" w:fill="FFFFFF"/>
        <w:spacing w:line="600" w:lineRule="exact"/>
        <w:ind w:firstLine="640" w:firstLineChars="200"/>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（一）项目概况</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1、项目实施依据</w:t>
      </w:r>
    </w:p>
    <w:p>
      <w:pPr>
        <w:spacing w:line="620" w:lineRule="exact"/>
        <w:ind w:firstLine="560" w:firstLineChars="200"/>
        <w:rPr>
          <w:rFonts w:ascii="方正书宋简体" w:hAnsi="方正书宋简体" w:eastAsia="方正书宋简体" w:cs="方正书宋简体"/>
          <w:sz w:val="24"/>
        </w:rPr>
      </w:pPr>
      <w:r>
        <w:rPr>
          <w:rFonts w:hint="eastAsia" w:ascii="仿宋_GB2312" w:eastAsia="仿宋_GB2312"/>
          <w:sz w:val="28"/>
          <w:szCs w:val="28"/>
        </w:rPr>
        <w:t>根据浙财行〔2020〕68号浙江省财政厅关于提前下达2021年政法奖励补助资金的通知，“业务装备经费”项目列入2021年度经费预算。批准261.40万元，所需资金全部由省财政局拨付。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2、项目内容</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根据立项文件，“业务装备经费”项目规模261.40万元，用于维护道路交通秩序，预防和减少交通事故，保护人身安全，保护公民、法人和其他组织的财产安全及其他合法权益，提高通行效率。</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3、项目预期完工时间</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“业务装备经费”项目，项目批复要求2021年度期间经费使用。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4、项目预期绩效目标</w:t>
      </w:r>
    </w:p>
    <w:p>
      <w:pPr>
        <w:ind w:firstLine="560" w:firstLineChars="200"/>
        <w:rPr>
          <w:rFonts w:ascii="仿宋_GB2312" w:eastAsia="仿宋_GB2312"/>
          <w:sz w:val="32"/>
          <w:szCs w:val="32"/>
        </w:rPr>
      </w:pPr>
      <w:r>
        <w:rPr>
          <w:rFonts w:hint="eastAsia" w:ascii="仿宋_GB2312" w:eastAsia="仿宋_GB2312"/>
          <w:sz w:val="28"/>
          <w:szCs w:val="28"/>
        </w:rPr>
        <w:t>“业务装备经费”项目实施成立后，预期产生的社会效益如下</w:t>
      </w:r>
      <w:r>
        <w:rPr>
          <w:rFonts w:hint="eastAsia" w:ascii="仿宋_GB2312" w:eastAsia="仿宋_GB2312"/>
          <w:sz w:val="32"/>
          <w:szCs w:val="32"/>
        </w:rPr>
        <w:t>：</w:t>
      </w:r>
    </w:p>
    <w:p>
      <w:pPr>
        <w:ind w:firstLine="600" w:firstLineChars="200"/>
        <w:rPr>
          <w:rFonts w:ascii="仿宋_GB2312" w:eastAsia="仿宋_GB2312"/>
          <w:sz w:val="32"/>
          <w:szCs w:val="32"/>
        </w:rPr>
      </w:pPr>
      <w:r>
        <w:rPr>
          <w:rFonts w:hint="eastAsia" w:ascii="仿宋" w:hAnsi="仿宋" w:eastAsia="仿宋" w:cs="仿宋"/>
          <w:color w:val="212529"/>
          <w:sz w:val="30"/>
          <w:szCs w:val="30"/>
          <w:shd w:val="clear" w:color="auto" w:fill="FFFFFF"/>
        </w:rPr>
        <w:t>4.1</w:t>
      </w:r>
      <w:r>
        <w:rPr>
          <w:rFonts w:ascii="仿宋" w:hAnsi="仿宋" w:eastAsia="仿宋" w:cs="仿宋"/>
          <w:color w:val="212529"/>
          <w:sz w:val="30"/>
          <w:szCs w:val="30"/>
          <w:shd w:val="clear" w:color="auto" w:fill="FFFFFF"/>
        </w:rPr>
        <w:t>确保重点时期全区道路交通安全形势平稳</w:t>
      </w:r>
      <w:r>
        <w:rPr>
          <w:rFonts w:hint="eastAsia" w:ascii="仿宋" w:hAnsi="仿宋" w:eastAsia="仿宋" w:cs="仿宋"/>
          <w:color w:val="212529"/>
          <w:sz w:val="30"/>
          <w:szCs w:val="30"/>
          <w:shd w:val="clear" w:color="auto" w:fill="FFFFFF"/>
        </w:rPr>
        <w:t>，</w:t>
      </w:r>
      <w:r>
        <w:rPr>
          <w:rFonts w:ascii="仿宋" w:hAnsi="仿宋" w:eastAsia="仿宋" w:cs="仿宋"/>
          <w:color w:val="212529"/>
          <w:sz w:val="30"/>
          <w:szCs w:val="30"/>
          <w:shd w:val="clear" w:color="auto" w:fill="FFFFFF"/>
        </w:rPr>
        <w:t>加大路面管理监控力度，努力消除路面事故隐患</w:t>
      </w:r>
      <w:r>
        <w:rPr>
          <w:rFonts w:hint="eastAsia" w:ascii="仿宋_GB2312" w:eastAsia="仿宋_GB2312"/>
          <w:sz w:val="28"/>
          <w:szCs w:val="28"/>
        </w:rPr>
        <w:t>；</w:t>
      </w:r>
    </w:p>
    <w:p>
      <w:pPr>
        <w:pStyle w:val="2"/>
        <w:ind w:firstLine="600"/>
        <w:rPr>
          <w:rFonts w:ascii="仿宋" w:hAnsi="仿宋" w:eastAsia="仿宋" w:cs="仿宋"/>
          <w:color w:val="212529"/>
          <w:sz w:val="30"/>
          <w:szCs w:val="30"/>
          <w:shd w:val="clear" w:color="auto" w:fill="FFFFFF"/>
        </w:rPr>
      </w:pPr>
      <w:r>
        <w:rPr>
          <w:rFonts w:hint="eastAsia" w:ascii="仿宋" w:hAnsi="仿宋" w:eastAsia="仿宋" w:cs="仿宋"/>
          <w:color w:val="212529"/>
          <w:sz w:val="30"/>
          <w:szCs w:val="30"/>
          <w:shd w:val="clear" w:color="auto" w:fill="FFFFFF"/>
        </w:rPr>
        <w:t xml:space="preserve">4.2 </w:t>
      </w:r>
      <w:r>
        <w:rPr>
          <w:rFonts w:hint="eastAsia" w:ascii="仿宋_GB2312"/>
          <w:sz w:val="28"/>
          <w:szCs w:val="28"/>
        </w:rPr>
        <w:t>增加了</w:t>
      </w:r>
      <w:r>
        <w:rPr>
          <w:rFonts w:ascii="仿宋" w:hAnsi="仿宋" w:eastAsia="仿宋" w:cs="仿宋"/>
          <w:color w:val="212529"/>
          <w:sz w:val="30"/>
          <w:szCs w:val="30"/>
          <w:shd w:val="clear" w:color="auto" w:fill="FFFFFF"/>
        </w:rPr>
        <w:t>流动巡逻与重点路段设点查验的方式加大对重点车辆及重点违法行为的查处提高拦查的频率，加大路面管理、监控和查缉力度</w:t>
      </w:r>
      <w:r>
        <w:rPr>
          <w:rFonts w:hint="eastAsia" w:ascii="仿宋" w:hAnsi="仿宋" w:eastAsia="仿宋" w:cs="仿宋"/>
          <w:color w:val="212529"/>
          <w:sz w:val="30"/>
          <w:szCs w:val="30"/>
          <w:shd w:val="clear" w:color="auto" w:fill="FFFFFF"/>
        </w:rPr>
        <w:t>；</w:t>
      </w:r>
    </w:p>
    <w:p>
      <w:pPr>
        <w:pStyle w:val="2"/>
        <w:ind w:firstLine="600"/>
        <w:rPr>
          <w:rFonts w:ascii="仿宋" w:hAnsi="仿宋" w:eastAsia="仿宋" w:cs="仿宋"/>
          <w:color w:val="212529"/>
          <w:sz w:val="30"/>
          <w:szCs w:val="30"/>
          <w:shd w:val="clear" w:color="auto" w:fill="FFFFFF"/>
        </w:rPr>
      </w:pPr>
      <w:r>
        <w:rPr>
          <w:rFonts w:hint="eastAsia" w:ascii="仿宋" w:hAnsi="仿宋" w:eastAsia="仿宋" w:cs="仿宋"/>
          <w:color w:val="212529"/>
          <w:sz w:val="30"/>
          <w:szCs w:val="30"/>
          <w:shd w:val="clear" w:color="auto" w:fill="FFFFFF"/>
        </w:rPr>
        <w:t>4.3 切实开展好道路交通管理工作，积极预防和减少交通事故。维护道路交通秩序，指挥疏导交通，努力提高通行效率，依法纠正和处罚交通违法行为。</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5、项目执行</w:t>
      </w:r>
    </w:p>
    <w:p>
      <w:pPr>
        <w:pStyle w:val="2"/>
        <w:ind w:firstLine="560"/>
        <w:rPr>
          <w:rFonts w:ascii="仿宋_GB2312"/>
          <w:sz w:val="28"/>
          <w:szCs w:val="28"/>
        </w:rPr>
      </w:pPr>
      <w:r>
        <w:rPr>
          <w:rFonts w:hint="eastAsia" w:ascii="仿宋_GB2312"/>
          <w:sz w:val="28"/>
          <w:szCs w:val="28"/>
        </w:rPr>
        <w:t xml:space="preserve">在各单位的配合协作之下，“业务装备经费”项目进展顺利，基本达到了预期的绩效目标: </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5.1 项目的实施情况</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5.1.1 项目的进展</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截至评价时点，均根据立项要求使用，有10.71万元结余。</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5.2 资金使用及财务管理情况</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5.2.1 资金筹措安排</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“业务装备经费”项目总预算金额261.40万元，所需资金全部财政拨款。</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5.2.2 资金到位情况</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截至2021年12月，“业务装备经费”项目实际到位261.40万元，上年度结余结转资金70.40万元，本年预算指标191.00万元，年中无调整。资金到位率100.00%。</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5.2.3 资金使用情况</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截至2021年12月，“业务装备经费”项目实际支付250.69万元，未超过预算，项目资金实际使用率95.90%。</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5.2.4 财务管理情况</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严格项目资金财务管理制度建设、机构设置、会计核算及帐务处理。建立健全项目资金财务管理制度，设置专门财务机构，严格按照景宁畲族自治县公安局交通警察大队制定的财务管理制度、内部控制制度执行。“业务装备经费”项目由财政部门严格审核后规范会计核算管理，及时账务处理，做到帐实相符，账账相符。</w:t>
      </w:r>
    </w:p>
    <w:p>
      <w:pPr>
        <w:shd w:val="clear" w:color="auto" w:fill="FFFFFF"/>
        <w:spacing w:line="600" w:lineRule="exact"/>
        <w:ind w:firstLine="640" w:firstLineChars="200"/>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 xml:space="preserve">（二）绩效分析及评价结论 </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通过对取得的相关资料的分析及调查发现，我们认为“业务装备经费”项目如下情况：</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xml:space="preserve">1、主要成效 </w:t>
      </w:r>
    </w:p>
    <w:p>
      <w:pPr>
        <w:ind w:firstLine="560" w:firstLineChars="200"/>
        <w:rPr>
          <w:rFonts w:ascii="仿宋_GB2312" w:eastAsia="仿宋_GB2312"/>
          <w:sz w:val="32"/>
          <w:szCs w:val="32"/>
        </w:rPr>
      </w:pPr>
      <w:r>
        <w:rPr>
          <w:rFonts w:hint="eastAsia" w:ascii="仿宋_GB2312" w:eastAsia="仿宋_GB2312"/>
          <w:sz w:val="28"/>
          <w:szCs w:val="28"/>
        </w:rPr>
        <w:t>“业务装备经费”项目实施后，</w:t>
      </w:r>
      <w:r>
        <w:rPr>
          <w:rFonts w:ascii="仿宋" w:hAnsi="仿宋" w:eastAsia="仿宋" w:cs="仿宋"/>
          <w:color w:val="212529"/>
          <w:sz w:val="30"/>
          <w:szCs w:val="30"/>
          <w:shd w:val="clear" w:color="auto" w:fill="FFFFFF"/>
        </w:rPr>
        <w:t>确保重点时期全区道路交通安全形势平稳</w:t>
      </w:r>
      <w:r>
        <w:rPr>
          <w:rFonts w:hint="eastAsia" w:ascii="仿宋" w:hAnsi="仿宋" w:eastAsia="仿宋" w:cs="仿宋"/>
          <w:color w:val="212529"/>
          <w:sz w:val="30"/>
          <w:szCs w:val="30"/>
          <w:shd w:val="clear" w:color="auto" w:fill="FFFFFF"/>
        </w:rPr>
        <w:t>，</w:t>
      </w:r>
      <w:r>
        <w:rPr>
          <w:rFonts w:ascii="仿宋" w:hAnsi="仿宋" w:eastAsia="仿宋" w:cs="仿宋"/>
          <w:color w:val="212529"/>
          <w:sz w:val="30"/>
          <w:szCs w:val="30"/>
          <w:shd w:val="clear" w:color="auto" w:fill="FFFFFF"/>
        </w:rPr>
        <w:t>加大路面管理监控力度，努力消除路面事故隐患</w:t>
      </w:r>
      <w:r>
        <w:rPr>
          <w:rFonts w:hint="eastAsia" w:ascii="仿宋_GB2312" w:eastAsia="仿宋_GB2312"/>
          <w:sz w:val="28"/>
          <w:szCs w:val="28"/>
        </w:rPr>
        <w:t>；增加了</w:t>
      </w:r>
      <w:r>
        <w:rPr>
          <w:rFonts w:ascii="仿宋" w:hAnsi="仿宋" w:eastAsia="仿宋" w:cs="仿宋"/>
          <w:color w:val="212529"/>
          <w:sz w:val="30"/>
          <w:szCs w:val="30"/>
          <w:shd w:val="clear" w:color="auto" w:fill="FFFFFF"/>
        </w:rPr>
        <w:t>流动巡逻与重点路段设点查验的方式加大对重点车辆及重点违法行为的查处提高拦查的频率，加大路面管理、监控和查缉力度</w:t>
      </w:r>
      <w:r>
        <w:rPr>
          <w:rFonts w:hint="eastAsia" w:ascii="仿宋" w:hAnsi="仿宋" w:eastAsia="仿宋" w:cs="仿宋"/>
          <w:color w:val="212529"/>
          <w:sz w:val="30"/>
          <w:szCs w:val="30"/>
          <w:shd w:val="clear" w:color="auto" w:fill="FFFFFF"/>
        </w:rPr>
        <w:t>；切实开展好道路交通管理工作，积极预防和减少交通事故。维护道路交通秩序，指挥疏导交通，努力提高通行效率，依法纠正和处罚交通违法行为</w:t>
      </w:r>
      <w:r>
        <w:rPr>
          <w:rFonts w:hint="eastAsia" w:ascii="仿宋_GB2312" w:eastAsia="仿宋_GB2312"/>
          <w:sz w:val="28"/>
          <w:szCs w:val="28"/>
        </w:rPr>
        <w:t>。</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主要问题：</w:t>
      </w:r>
    </w:p>
    <w:p>
      <w:pPr>
        <w:ind w:firstLine="560" w:firstLineChars="200"/>
        <w:rPr>
          <w:rFonts w:ascii="仿宋_GB2312" w:eastAsia="仿宋_GB2312"/>
          <w:sz w:val="28"/>
          <w:szCs w:val="28"/>
        </w:rPr>
      </w:pPr>
      <w:r>
        <w:rPr>
          <w:rFonts w:hint="eastAsia" w:ascii="仿宋_GB2312" w:eastAsia="仿宋_GB2312"/>
          <w:sz w:val="28"/>
          <w:szCs w:val="28"/>
        </w:rPr>
        <w:t>资金使用未超过预算，结余10.71万元，导致批复资金与实际支出资金不相符。</w:t>
      </w:r>
    </w:p>
    <w:p>
      <w:pPr>
        <w:pStyle w:val="2"/>
        <w:ind w:firstLine="640"/>
        <w:rPr>
          <w:rFonts w:ascii="仿宋_GB2312"/>
          <w:szCs w:val="32"/>
        </w:rPr>
      </w:pPr>
      <w:r>
        <w:rPr>
          <w:rFonts w:hint="eastAsia" w:ascii="仿宋_GB2312"/>
          <w:szCs w:val="32"/>
        </w:rPr>
        <w:t>3、整改意见和建议：</w:t>
      </w:r>
    </w:p>
    <w:p>
      <w:pPr>
        <w:spacing w:line="620" w:lineRule="exact"/>
        <w:ind w:firstLine="600" w:firstLineChars="200"/>
        <w:rPr>
          <w:rFonts w:ascii="仿宋" w:hAnsi="仿宋" w:eastAsia="仿宋" w:cs="仿宋"/>
          <w:color w:val="212529"/>
          <w:sz w:val="30"/>
          <w:szCs w:val="30"/>
          <w:shd w:val="clear" w:color="auto" w:fill="FFFFFF"/>
        </w:rPr>
      </w:pPr>
      <w:r>
        <w:rPr>
          <w:rFonts w:ascii="仿宋" w:hAnsi="仿宋" w:eastAsia="仿宋" w:cs="仿宋"/>
          <w:color w:val="212529"/>
          <w:sz w:val="30"/>
          <w:szCs w:val="30"/>
          <w:shd w:val="clear" w:color="auto" w:fill="FFFFFF"/>
        </w:rPr>
        <w:t>严格加强项目预算执行管理，建立项目执行长效管理机制，依法合规加快项目预算执行进度，保障资金使用安全，提高资金使用效益，根据国家有关财经法律法规制度和财政部、公安部预算管理有关规定，结合交警大队实际，制定财务管理办法，严格执行。</w:t>
      </w:r>
    </w:p>
    <w:p>
      <w:pPr>
        <w:spacing w:line="620" w:lineRule="exact"/>
        <w:ind w:firstLine="640" w:firstLineChars="200"/>
      </w:pPr>
      <w:r>
        <w:rPr>
          <w:rFonts w:hint="eastAsia" w:ascii="仿宋_GB2312" w:eastAsia="仿宋_GB2312"/>
          <w:sz w:val="32"/>
          <w:szCs w:val="32"/>
        </w:rPr>
        <w:t>4、绩效分析</w:t>
      </w:r>
    </w:p>
    <w:p>
      <w:pPr>
        <w:spacing w:line="62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项目绩效包括投入、过程、产出、效益，以下重点围绕产出指标、效益指标和满意度介绍</w:t>
      </w:r>
      <w:r>
        <w:rPr>
          <w:rFonts w:hint="eastAsia" w:ascii="仿宋" w:hAnsi="仿宋" w:eastAsia="仿宋" w:cs="仿宋"/>
          <w:sz w:val="28"/>
          <w:szCs w:val="28"/>
        </w:rPr>
        <w:t>“业务装备经费”项目</w:t>
      </w:r>
      <w:r>
        <w:rPr>
          <w:rFonts w:ascii="仿宋" w:hAnsi="仿宋" w:eastAsia="仿宋" w:cs="仿宋"/>
          <w:color w:val="000000"/>
          <w:sz w:val="28"/>
          <w:szCs w:val="28"/>
        </w:rPr>
        <w:t>绩效评价指标以及评分情况。</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产出指标主要评价产出数量、产出质量、产出及时性以及产出成本的情况，对于该项的评价，评价小组审阅了相关资料，参照相关法律法规，认真审阅在各项目实施单位获取的档案资料，进而分析得出最终结果，根据评价指标评分细则，实际评分得分40分。</w:t>
      </w:r>
    </w:p>
    <w:p>
      <w:pPr>
        <w:tabs>
          <w:tab w:val="left" w:pos="6240"/>
        </w:tabs>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①产出数量指标（满分20分，得分20分）</w:t>
      </w:r>
      <w:r>
        <w:rPr>
          <w:rFonts w:ascii="仿宋" w:hAnsi="仿宋" w:eastAsia="仿宋" w:cs="仿宋"/>
          <w:color w:val="000000"/>
          <w:sz w:val="28"/>
          <w:szCs w:val="28"/>
        </w:rPr>
        <w:tab/>
      </w:r>
    </w:p>
    <w:p>
      <w:pPr>
        <w:spacing w:line="600" w:lineRule="exact"/>
        <w:ind w:firstLine="560" w:firstLineChars="200"/>
      </w:pPr>
      <w:r>
        <w:rPr>
          <w:rFonts w:hint="eastAsia" w:ascii="仿宋" w:hAnsi="仿宋" w:eastAsia="仿宋" w:cs="仿宋"/>
          <w:color w:val="000000"/>
          <w:sz w:val="28"/>
          <w:szCs w:val="28"/>
        </w:rPr>
        <w:t>根据评价小组梳理分类，根据项目绩效目标，</w:t>
      </w:r>
      <w:r>
        <w:rPr>
          <w:rFonts w:hint="eastAsia" w:ascii="仿宋" w:hAnsi="仿宋" w:eastAsia="仿宋" w:cs="仿宋"/>
          <w:sz w:val="28"/>
          <w:szCs w:val="28"/>
        </w:rPr>
        <w:t>产出数量下设“执法办案数量”、“购置专业设备数量”两个三级指标，每个项目10分。经了解，“业务装备经费”项目，2021年执法办案数量37000件，购置专业设备数量65件。根据评价指标评分细则，实际评分得分20分。</w:t>
      </w:r>
    </w:p>
    <w:p>
      <w:pPr>
        <w:spacing w:line="6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②产出质量指标（满分10分，得分10分）</w:t>
      </w: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产出质量主要从“案件办结率”来评价“业务装备经费”项目质量。对于该项的评价，经了解，“业务装备经费”项目案件办结率100%，根据评价指标评分细则，实际评分得分10分。</w:t>
      </w:r>
    </w:p>
    <w:p>
      <w:pPr>
        <w:spacing w:line="6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③产出时效指标（此项不涉及）</w:t>
      </w:r>
    </w:p>
    <w:p>
      <w:pPr>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4 \* GB3</w:instrText>
      </w:r>
      <w:r>
        <w:rPr>
          <w:rFonts w:ascii="仿宋" w:hAnsi="仿宋" w:eastAsia="仿宋" w:cs="仿宋"/>
          <w:color w:val="000000"/>
          <w:sz w:val="28"/>
          <w:szCs w:val="28"/>
        </w:rPr>
        <w:fldChar w:fldCharType="separate"/>
      </w:r>
      <w:r>
        <w:rPr>
          <w:rFonts w:hint="eastAsia" w:ascii="仿宋" w:hAnsi="仿宋" w:eastAsia="仿宋" w:cs="仿宋"/>
          <w:color w:val="000000"/>
          <w:sz w:val="28"/>
          <w:szCs w:val="28"/>
        </w:rPr>
        <w:t>④</w:t>
      </w:r>
      <w:r>
        <w:rPr>
          <w:rFonts w:ascii="仿宋" w:hAnsi="仿宋" w:eastAsia="仿宋" w:cs="仿宋"/>
          <w:color w:val="000000"/>
          <w:sz w:val="28"/>
          <w:szCs w:val="28"/>
        </w:rPr>
        <w:fldChar w:fldCharType="end"/>
      </w:r>
      <w:r>
        <w:rPr>
          <w:rFonts w:hint="eastAsia" w:ascii="仿宋" w:hAnsi="仿宋" w:eastAsia="仿宋" w:cs="仿宋"/>
          <w:color w:val="000000"/>
          <w:sz w:val="28"/>
          <w:szCs w:val="28"/>
        </w:rPr>
        <w:t>产出成本指标（满分10分，得分10分）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成本主要从项目成本（预算）控制情况方面评价。</w:t>
      </w:r>
      <w:r>
        <w:rPr>
          <w:rFonts w:hint="eastAsia" w:ascii="仿宋" w:hAnsi="仿宋" w:eastAsia="仿宋" w:cs="仿宋"/>
          <w:sz w:val="28"/>
          <w:szCs w:val="28"/>
        </w:rPr>
        <w:t>“业务装备经费”项目</w:t>
      </w:r>
      <w:r>
        <w:rPr>
          <w:rFonts w:hint="eastAsia" w:ascii="仿宋" w:hAnsi="仿宋" w:eastAsia="仿宋" w:cs="仿宋"/>
          <w:color w:val="000000"/>
          <w:sz w:val="28"/>
          <w:szCs w:val="28"/>
        </w:rPr>
        <w:t>专项资金全部财政预算金额为261.40万元，实际使用金额</w:t>
      </w:r>
      <w:r>
        <w:rPr>
          <w:rFonts w:hint="eastAsia" w:ascii="仿宋" w:hAnsi="仿宋" w:eastAsia="仿宋" w:cs="仿宋"/>
          <w:sz w:val="28"/>
          <w:szCs w:val="28"/>
        </w:rPr>
        <w:t>为250.69万</w:t>
      </w:r>
      <w:r>
        <w:rPr>
          <w:rFonts w:hint="eastAsia" w:ascii="仿宋" w:hAnsi="仿宋" w:eastAsia="仿宋" w:cs="仿宋"/>
          <w:color w:val="000000"/>
          <w:sz w:val="28"/>
          <w:szCs w:val="28"/>
        </w:rPr>
        <w:t>元，未超过预算，资金结余10.71万元。</w:t>
      </w:r>
      <w:r>
        <w:rPr>
          <w:rFonts w:hint="eastAsia" w:ascii="仿宋" w:hAnsi="仿宋" w:eastAsia="仿宋" w:cs="仿宋"/>
          <w:sz w:val="28"/>
          <w:szCs w:val="28"/>
        </w:rPr>
        <w:t>根据评价指标评分细则，</w:t>
      </w:r>
      <w:r>
        <w:rPr>
          <w:rFonts w:hint="eastAsia" w:ascii="仿宋" w:hAnsi="仿宋" w:eastAsia="仿宋" w:cs="仿宋"/>
          <w:color w:val="000000"/>
          <w:sz w:val="28"/>
          <w:szCs w:val="28"/>
        </w:rPr>
        <w:t>本项指标实际得分10分。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效益指标包括经济效益指标、社会效益指标、生态效益指标、可持续影响四个二级指标。对于该项的评价，评价小组从社会效益指标、经济效益指标、可持续影响指标三个二级指标进行评价，进而分析得出最终结果，根据评价指标评分细则，实际评分得分48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①经济效益指标（满分20分，得分19分）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sz w:val="28"/>
          <w:szCs w:val="28"/>
        </w:rPr>
        <w:t>业务装备经费</w:t>
      </w:r>
      <w:r>
        <w:rPr>
          <w:rFonts w:hint="eastAsia" w:ascii="仿宋" w:hAnsi="仿宋" w:eastAsia="仿宋" w:cs="仿宋"/>
          <w:color w:val="000000"/>
          <w:sz w:val="28"/>
          <w:szCs w:val="28"/>
        </w:rPr>
        <w:t>”项目实施后，保障了人民群众人身和财产安全，共罚没金额（实物）500万元。根据评价指标评分细则，该项指标得分10分。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②社会效益指标（满分20分，得分19分）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sz w:val="28"/>
          <w:szCs w:val="28"/>
        </w:rPr>
        <w:t>业务装备经费</w:t>
      </w:r>
      <w:r>
        <w:rPr>
          <w:rFonts w:hint="eastAsia" w:ascii="仿宋" w:hAnsi="仿宋" w:eastAsia="仿宋" w:cs="仿宋"/>
          <w:color w:val="000000"/>
          <w:sz w:val="28"/>
          <w:szCs w:val="28"/>
        </w:rPr>
        <w:t>”项目实施后，保障交通安全与畅通、促进社会稳定和谐。根据评价指标评分细则，该项指标得分19分。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③生态效益指标（此项不涉及）</w:t>
      </w:r>
    </w:p>
    <w:p>
      <w:pPr>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4 \* GB3</w:instrText>
      </w:r>
      <w:r>
        <w:rPr>
          <w:rFonts w:ascii="仿宋" w:hAnsi="仿宋" w:eastAsia="仿宋" w:cs="仿宋"/>
          <w:color w:val="000000"/>
          <w:sz w:val="28"/>
          <w:szCs w:val="28"/>
        </w:rPr>
        <w:fldChar w:fldCharType="separate"/>
      </w:r>
      <w:r>
        <w:rPr>
          <w:rFonts w:hint="eastAsia" w:ascii="仿宋" w:hAnsi="仿宋" w:eastAsia="仿宋" w:cs="仿宋"/>
          <w:color w:val="000000"/>
          <w:sz w:val="28"/>
          <w:szCs w:val="28"/>
        </w:rPr>
        <w:t>④</w:t>
      </w:r>
      <w:r>
        <w:rPr>
          <w:rFonts w:ascii="仿宋" w:hAnsi="仿宋" w:eastAsia="仿宋" w:cs="仿宋"/>
          <w:color w:val="000000"/>
          <w:sz w:val="28"/>
          <w:szCs w:val="28"/>
        </w:rPr>
        <w:fldChar w:fldCharType="end"/>
      </w:r>
      <w:r>
        <w:rPr>
          <w:rFonts w:hint="eastAsia" w:ascii="仿宋" w:hAnsi="仿宋" w:eastAsia="仿宋" w:cs="仿宋"/>
          <w:color w:val="000000"/>
          <w:sz w:val="28"/>
          <w:szCs w:val="28"/>
        </w:rPr>
        <w:t>可持续影响指标（满分10分，得分9分）</w:t>
      </w:r>
    </w:p>
    <w:p>
      <w:pPr>
        <w:spacing w:line="600" w:lineRule="exact"/>
        <w:ind w:firstLine="560" w:firstLineChars="200"/>
      </w:pPr>
      <w:r>
        <w:rPr>
          <w:rFonts w:hint="eastAsia" w:ascii="仿宋" w:hAnsi="仿宋" w:eastAsia="仿宋" w:cs="仿宋"/>
          <w:color w:val="000000"/>
          <w:sz w:val="28"/>
          <w:szCs w:val="28"/>
        </w:rPr>
        <w:t>“</w:t>
      </w:r>
      <w:r>
        <w:rPr>
          <w:rFonts w:hint="eastAsia" w:ascii="仿宋" w:hAnsi="仿宋" w:eastAsia="仿宋" w:cs="仿宋"/>
          <w:sz w:val="28"/>
          <w:szCs w:val="28"/>
        </w:rPr>
        <w:t>业务装备经费</w:t>
      </w:r>
      <w:r>
        <w:rPr>
          <w:rFonts w:hint="eastAsia" w:ascii="仿宋" w:hAnsi="仿宋" w:eastAsia="仿宋" w:cs="仿宋"/>
          <w:color w:val="000000"/>
          <w:sz w:val="28"/>
          <w:szCs w:val="28"/>
        </w:rPr>
        <w:t>”项目实施后，持续地巩固我县城区交通秩序科技管理。根据评价指标评分细则，该项指标得分9分。</w:t>
      </w:r>
    </w:p>
    <w:p>
      <w:pPr>
        <w:spacing w:line="600" w:lineRule="exact"/>
        <w:ind w:firstLine="560" w:firstLineChars="200"/>
        <w:outlineLvl w:val="2"/>
        <w:rPr>
          <w:rFonts w:ascii="仿宋" w:hAnsi="仿宋" w:eastAsia="仿宋" w:cs="仿宋"/>
          <w:color w:val="000000"/>
          <w:sz w:val="28"/>
          <w:szCs w:val="28"/>
        </w:rPr>
      </w:pPr>
      <w:bookmarkStart w:id="0" w:name="_Toc10960_WPSOffice_Level3"/>
      <w:bookmarkStart w:id="1" w:name="_Toc9013_WPSOffice_Level3"/>
      <w:bookmarkStart w:id="2" w:name="_Toc29698"/>
      <w:r>
        <w:rPr>
          <w:rFonts w:hint="eastAsia" w:ascii="仿宋" w:hAnsi="仿宋" w:eastAsia="仿宋" w:cs="仿宋"/>
          <w:color w:val="000000"/>
          <w:sz w:val="28"/>
          <w:szCs w:val="28"/>
        </w:rPr>
        <w:t>（3）满意度指标</w:t>
      </w:r>
      <w:bookmarkEnd w:id="0"/>
      <w:bookmarkEnd w:id="1"/>
      <w:bookmarkEnd w:id="2"/>
    </w:p>
    <w:p>
      <w:pPr>
        <w:spacing w:line="600" w:lineRule="exact"/>
        <w:ind w:firstLine="560" w:firstLineChars="200"/>
        <w:outlineLvl w:val="2"/>
        <w:rPr>
          <w:rFonts w:ascii="仿宋_GB2312" w:eastAsia="仿宋_GB2312"/>
          <w:sz w:val="32"/>
          <w:szCs w:val="32"/>
        </w:rPr>
      </w:pPr>
      <w:r>
        <w:rPr>
          <w:rFonts w:hint="eastAsia" w:ascii="仿宋" w:hAnsi="仿宋" w:eastAsia="仿宋" w:cs="仿宋"/>
          <w:color w:val="000000"/>
          <w:sz w:val="28"/>
          <w:szCs w:val="28"/>
        </w:rPr>
        <w:t>满意度指标</w:t>
      </w:r>
      <w:r>
        <w:rPr>
          <w:rFonts w:hint="eastAsia" w:ascii="仿宋" w:hAnsi="仿宋" w:eastAsia="仿宋" w:cs="仿宋"/>
          <w:color w:val="000000" w:themeColor="text1"/>
          <w:sz w:val="28"/>
          <w:szCs w:val="28"/>
        </w:rPr>
        <w:t>用以反映</w:t>
      </w:r>
      <w:r>
        <w:rPr>
          <w:rFonts w:hint="eastAsia" w:ascii="仿宋" w:hAnsi="仿宋" w:eastAsia="仿宋" w:cs="仿宋"/>
          <w:sz w:val="28"/>
          <w:szCs w:val="28"/>
        </w:rPr>
        <w:t>“业务装备经费”</w:t>
      </w:r>
      <w:r>
        <w:rPr>
          <w:rFonts w:hint="eastAsia" w:ascii="仿宋" w:hAnsi="仿宋" w:eastAsia="仿宋" w:cs="仿宋"/>
          <w:color w:val="000000" w:themeColor="text1"/>
          <w:sz w:val="28"/>
          <w:szCs w:val="28"/>
        </w:rPr>
        <w:t>资金受益人员对</w:t>
      </w:r>
      <w:r>
        <w:rPr>
          <w:rFonts w:hint="eastAsia" w:ascii="仿宋" w:hAnsi="仿宋" w:eastAsia="仿宋" w:cs="仿宋"/>
          <w:sz w:val="28"/>
          <w:szCs w:val="28"/>
        </w:rPr>
        <w:t>业务装备经费</w:t>
      </w:r>
      <w:r>
        <w:rPr>
          <w:rFonts w:hint="eastAsia" w:ascii="仿宋_GB2312" w:eastAsia="仿宋_GB2312"/>
          <w:sz w:val="28"/>
          <w:szCs w:val="28"/>
        </w:rPr>
        <w:t>工作</w:t>
      </w:r>
      <w:r>
        <w:rPr>
          <w:rFonts w:hint="eastAsia" w:ascii="仿宋" w:hAnsi="仿宋" w:eastAsia="仿宋" w:cs="仿宋"/>
          <w:color w:val="000000" w:themeColor="text1"/>
          <w:sz w:val="28"/>
          <w:szCs w:val="28"/>
        </w:rPr>
        <w:t>的满意程度。本次绩效评价过程中，发放调查问卷22份，收回22份，根据满意度调查问卷直接打分，群众满意度较高，对项目整体实施也满意。该项指标得分9分。</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5、业务评价</w:t>
      </w:r>
    </w:p>
    <w:p>
      <w:pPr>
        <w:spacing w:line="620" w:lineRule="exact"/>
        <w:ind w:firstLine="560" w:firstLineChars="200"/>
        <w:rPr>
          <w:rFonts w:ascii="仿宋_GB2312" w:eastAsia="仿宋_GB2312"/>
          <w:sz w:val="32"/>
          <w:szCs w:val="32"/>
        </w:rPr>
      </w:pPr>
      <w:r>
        <w:rPr>
          <w:rFonts w:hint="eastAsia" w:ascii="仿宋_GB2312" w:eastAsia="仿宋_GB2312"/>
          <w:sz w:val="28"/>
          <w:szCs w:val="28"/>
        </w:rPr>
        <w:t>综上，对照评价标准进行评价，“业务装备经费”项目综合评价得分95分，绩效评价等次为优。</w:t>
      </w:r>
    </w:p>
    <w:p>
      <w:pPr>
        <w:numPr>
          <w:ilvl w:val="0"/>
          <w:numId w:val="2"/>
        </w:numPr>
        <w:shd w:val="clear" w:color="auto" w:fill="FFFFFF"/>
        <w:spacing w:line="600" w:lineRule="exact"/>
        <w:ind w:firstLine="314" w:firstLineChars="98"/>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主要经验及做法</w:t>
      </w:r>
    </w:p>
    <w:p>
      <w:pPr>
        <w:ind w:firstLine="560" w:firstLineChars="200"/>
        <w:jc w:val="left"/>
        <w:rPr>
          <w:rFonts w:ascii="仿宋_GB2312" w:eastAsia="仿宋_GB2312"/>
          <w:sz w:val="28"/>
          <w:szCs w:val="28"/>
        </w:rPr>
      </w:pPr>
      <w:r>
        <w:rPr>
          <w:rFonts w:hint="eastAsia" w:ascii="仿宋_GB2312" w:eastAsia="仿宋_GB2312"/>
          <w:sz w:val="28"/>
          <w:szCs w:val="28"/>
        </w:rPr>
        <w:t>一、</w:t>
      </w:r>
      <w:r>
        <w:rPr>
          <w:rFonts w:ascii="仿宋" w:hAnsi="仿宋" w:eastAsia="仿宋" w:cs="仿宋"/>
          <w:color w:val="212529"/>
          <w:sz w:val="30"/>
          <w:szCs w:val="30"/>
          <w:shd w:val="clear" w:color="auto" w:fill="FFFFFF"/>
        </w:rPr>
        <w:t>加强风险防控，着力维护国家政治安全稳定。把确保国家政治安全、政权安全作为第一责任来落实，始终坚持凡</w:t>
      </w:r>
      <w:r>
        <w:rPr>
          <w:rFonts w:hint="eastAsia" w:ascii="仿宋" w:hAnsi="仿宋" w:eastAsia="仿宋" w:cs="仿宋"/>
          <w:color w:val="212529"/>
          <w:sz w:val="30"/>
          <w:szCs w:val="30"/>
          <w:shd w:val="clear" w:color="auto" w:fill="FFFFFF"/>
        </w:rPr>
        <w:t>“恐”必打、露头就打，坚决打赢反恐怖这场硬仗。着力实施大数据战略，实现公安机关核心战斗力有新提升。严打各类违法犯罪活动，实现群众安全感满意度有新提升。始终保持对刑事犯罪的严打高压态势，做实立体化社会治安防控体系的“细胞工程”，做到更快地破大案、更多地破小案、更好地控发案，同步推动落实便民利民措施，提升服务群众工作水平</w:t>
      </w:r>
      <w:r>
        <w:rPr>
          <w:rFonts w:hint="eastAsia" w:ascii="仿宋_GB2312" w:eastAsia="仿宋_GB2312"/>
          <w:sz w:val="28"/>
          <w:szCs w:val="28"/>
        </w:rPr>
        <w:t>。</w:t>
      </w:r>
    </w:p>
    <w:p>
      <w:pPr>
        <w:shd w:val="clear" w:color="auto" w:fill="FFFFFF"/>
        <w:spacing w:line="600" w:lineRule="exact"/>
        <w:ind w:firstLine="411" w:firstLineChars="147"/>
        <w:rPr>
          <w:rFonts w:ascii="仿宋" w:hAnsi="仿宋" w:eastAsia="仿宋" w:cs="仿宋"/>
          <w:color w:val="000000"/>
          <w:sz w:val="28"/>
          <w:szCs w:val="28"/>
        </w:rPr>
      </w:pPr>
      <w:r>
        <w:rPr>
          <w:rFonts w:hint="eastAsia" w:ascii="仿宋_GB2312" w:eastAsia="仿宋_GB2312"/>
          <w:sz w:val="28"/>
          <w:szCs w:val="28"/>
        </w:rPr>
        <w:t>二、</w:t>
      </w:r>
      <w:r>
        <w:rPr>
          <w:rFonts w:ascii="仿宋" w:hAnsi="仿宋" w:eastAsia="仿宋" w:cs="仿宋"/>
          <w:color w:val="212529"/>
          <w:sz w:val="30"/>
          <w:szCs w:val="30"/>
          <w:shd w:val="clear" w:color="auto" w:fill="FFFFFF"/>
        </w:rPr>
        <w:t>一是进一步完善单位预算编审制度体系建设，确保尽早探索出一套符合单位重点工作开展、提升财政资金使用效益的行业绩效评价体系。二是进一步加强内部预算管理意识，严格按照预算编制的相关制度和要求进行预算编制。三是在今后的预算绩效申报时，需相关业务处室将全年工作任务细化分解为具体的工作目标，并尽量采取定量的方式制定清晰、可衡量的绩效指标</w:t>
      </w:r>
      <w:r>
        <w:rPr>
          <w:rFonts w:hint="eastAsia" w:ascii="仿宋" w:hAnsi="仿宋" w:eastAsia="仿宋" w:cs="仿宋"/>
          <w:color w:val="000000"/>
          <w:sz w:val="28"/>
          <w:szCs w:val="28"/>
        </w:rPr>
        <w:t>。</w:t>
      </w:r>
    </w:p>
    <w:p>
      <w:pPr>
        <w:shd w:val="clear" w:color="auto" w:fill="FFFFFF"/>
        <w:spacing w:line="600" w:lineRule="exact"/>
        <w:ind w:firstLine="471" w:firstLineChars="147"/>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（四）主要问题分析</w:t>
      </w:r>
    </w:p>
    <w:p>
      <w:pPr>
        <w:ind w:firstLine="560" w:firstLineChars="200"/>
        <w:rPr>
          <w:rFonts w:ascii="仿宋_GB2312" w:eastAsia="仿宋_GB2312"/>
          <w:sz w:val="28"/>
          <w:szCs w:val="28"/>
        </w:rPr>
      </w:pPr>
      <w:r>
        <w:rPr>
          <w:rFonts w:hint="eastAsia" w:ascii="仿宋_GB2312" w:eastAsia="仿宋_GB2312"/>
          <w:sz w:val="28"/>
          <w:szCs w:val="28"/>
        </w:rPr>
        <w:t>资金使用未超过预算，结余10.71万元，导致批复资金与实际支出资金不相符。</w:t>
      </w:r>
    </w:p>
    <w:p>
      <w:pPr>
        <w:shd w:val="clear" w:color="auto" w:fill="FFFFFF"/>
        <w:spacing w:line="600" w:lineRule="exact"/>
        <w:ind w:firstLine="560" w:firstLineChars="200"/>
        <w:rPr>
          <w:rFonts w:ascii="仿宋_GB2312" w:eastAsia="仿宋_GB2312"/>
          <w:sz w:val="28"/>
          <w:szCs w:val="28"/>
        </w:rPr>
      </w:pPr>
      <w:r>
        <w:rPr>
          <w:rFonts w:hint="eastAsia" w:ascii="仿宋_GB2312" w:eastAsia="仿宋_GB2312"/>
          <w:sz w:val="28"/>
          <w:szCs w:val="28"/>
        </w:rPr>
        <w:t>经核查分析：主要系年末国库集中支付系统提前关账导致多笔经费未支付。</w:t>
      </w:r>
    </w:p>
    <w:p>
      <w:pPr>
        <w:shd w:val="clear" w:color="auto" w:fill="FFFFFF"/>
        <w:spacing w:line="600" w:lineRule="exact"/>
        <w:ind w:firstLine="791" w:firstLineChars="247"/>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（五）相关建议</w:t>
      </w:r>
    </w:p>
    <w:p>
      <w:pPr>
        <w:ind w:firstLine="600" w:firstLineChars="200"/>
        <w:rPr>
          <w:rFonts w:ascii="仿宋_GB2312" w:eastAsia="仿宋_GB2312"/>
          <w:sz w:val="28"/>
          <w:szCs w:val="28"/>
        </w:rPr>
      </w:pPr>
      <w:r>
        <w:rPr>
          <w:rFonts w:ascii="仿宋" w:hAnsi="仿宋" w:eastAsia="仿宋" w:cs="仿宋"/>
          <w:color w:val="212529"/>
          <w:sz w:val="30"/>
          <w:szCs w:val="30"/>
          <w:shd w:val="clear" w:color="auto" w:fill="FFFFFF"/>
        </w:rPr>
        <w:t>严格加强项目预算执行管理，建立项目执行长效管理机制，依法合规加快项目预算执行进度，保障资金使用安全，提高资金使用效益，根据国家有关财经法律法规制度和财政部、公安部预算管理有关规定，结合交警大队实际，制定财务管理办法，严格执行。</w:t>
      </w:r>
    </w:p>
    <w:p>
      <w:pPr>
        <w:spacing w:line="620" w:lineRule="exact"/>
        <w:ind w:firstLine="640" w:firstLineChars="200"/>
        <w:rPr>
          <w:rFonts w:ascii="仿宋_GB2312" w:eastAsia="仿宋_GB2312"/>
          <w:sz w:val="32"/>
          <w:szCs w:val="32"/>
        </w:rPr>
      </w:pPr>
      <w:r>
        <w:rPr>
          <w:rFonts w:hint="eastAsia" w:ascii="仿宋_GB2312" w:hAnsi="仿宋_GB2312" w:eastAsia="仿宋_GB2312" w:cs="仿宋_GB2312"/>
          <w:b/>
          <w:bCs/>
          <w:color w:val="333333"/>
          <w:sz w:val="32"/>
          <w:szCs w:val="32"/>
        </w:rPr>
        <w:t>（六）其他需要说明的问题</w:t>
      </w:r>
    </w:p>
    <w:p>
      <w:pPr>
        <w:spacing w:line="620" w:lineRule="exact"/>
        <w:ind w:firstLine="688" w:firstLineChars="246"/>
        <w:rPr>
          <w:rFonts w:ascii="仿宋_GB2312" w:eastAsia="仿宋_GB2312"/>
          <w:sz w:val="28"/>
          <w:szCs w:val="28"/>
        </w:rPr>
      </w:pPr>
      <w:r>
        <w:rPr>
          <w:rFonts w:hint="eastAsia" w:ascii="仿宋_GB2312" w:eastAsia="仿宋_GB2312"/>
          <w:sz w:val="28"/>
          <w:szCs w:val="28"/>
        </w:rPr>
        <w:t>无。</w:t>
      </w:r>
    </w:p>
    <w:p>
      <w:pPr>
        <w:spacing w:line="620" w:lineRule="exact"/>
        <w:ind w:firstLine="467" w:firstLineChars="146"/>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（七）附件</w:t>
      </w:r>
    </w:p>
    <w:p>
      <w:pPr>
        <w:wordWrap w:val="0"/>
        <w:autoSpaceDE/>
        <w:autoSpaceDN/>
        <w:adjustRightInd/>
        <w:spacing w:line="600" w:lineRule="exact"/>
        <w:jc w:val="center"/>
        <w:rPr>
          <w:rFonts w:ascii="方正小标宋简体" w:hAnsi="方正小标宋简体" w:eastAsia="方正小标宋简体" w:cs="方正小标宋简体"/>
          <w:color w:val="000000"/>
          <w:spacing w:val="7"/>
          <w:sz w:val="44"/>
          <w:szCs w:val="44"/>
        </w:rPr>
      </w:pPr>
    </w:p>
    <w:p>
      <w:pPr>
        <w:wordWrap w:val="0"/>
        <w:autoSpaceDE/>
        <w:autoSpaceDN/>
        <w:adjustRightInd/>
        <w:spacing w:line="600" w:lineRule="exact"/>
        <w:rPr>
          <w:rFonts w:ascii="方正小标宋简体" w:hAnsi="方正小标宋简体" w:eastAsia="方正小标宋简体" w:cs="方正小标宋简体"/>
          <w:color w:val="000000"/>
          <w:spacing w:val="7"/>
          <w:sz w:val="44"/>
          <w:szCs w:val="44"/>
        </w:rPr>
      </w:pPr>
    </w:p>
    <w:p>
      <w:pPr>
        <w:pStyle w:val="2"/>
        <w:ind w:firstLine="908"/>
        <w:rPr>
          <w:rFonts w:ascii="方正小标宋简体" w:hAnsi="方正小标宋简体" w:eastAsia="方正小标宋简体" w:cs="方正小标宋简体"/>
          <w:color w:val="000000"/>
          <w:spacing w:val="7"/>
          <w:sz w:val="44"/>
          <w:szCs w:val="44"/>
        </w:rPr>
      </w:pPr>
    </w:p>
    <w:p>
      <w:pPr>
        <w:pStyle w:val="2"/>
        <w:ind w:firstLine="908"/>
        <w:rPr>
          <w:rFonts w:ascii="方正小标宋简体" w:hAnsi="方正小标宋简体" w:eastAsia="方正小标宋简体" w:cs="方正小标宋简体"/>
          <w:color w:val="000000"/>
          <w:spacing w:val="7"/>
          <w:sz w:val="44"/>
          <w:szCs w:val="44"/>
        </w:rPr>
      </w:pPr>
    </w:p>
    <w:p>
      <w:pPr>
        <w:pStyle w:val="2"/>
        <w:ind w:firstLine="908"/>
        <w:rPr>
          <w:rFonts w:ascii="方正小标宋简体" w:hAnsi="方正小标宋简体" w:eastAsia="方正小标宋简体" w:cs="方正小标宋简体"/>
          <w:color w:val="000000"/>
          <w:spacing w:val="7"/>
          <w:sz w:val="44"/>
          <w:szCs w:val="44"/>
        </w:rPr>
      </w:pPr>
    </w:p>
    <w:p>
      <w:pPr>
        <w:pStyle w:val="2"/>
        <w:ind w:firstLine="908"/>
        <w:rPr>
          <w:rFonts w:ascii="方正小标宋简体" w:hAnsi="方正小标宋简体" w:eastAsia="方正小标宋简体" w:cs="方正小标宋简体"/>
          <w:color w:val="000000"/>
          <w:spacing w:val="7"/>
          <w:sz w:val="44"/>
          <w:szCs w:val="44"/>
        </w:rPr>
      </w:pPr>
    </w:p>
    <w:p>
      <w:pPr>
        <w:pStyle w:val="2"/>
        <w:ind w:firstLine="908"/>
        <w:rPr>
          <w:rFonts w:ascii="方正小标宋简体" w:hAnsi="方正小标宋简体" w:eastAsia="方正小标宋简体" w:cs="方正小标宋简体"/>
          <w:color w:val="000000"/>
          <w:spacing w:val="7"/>
          <w:sz w:val="44"/>
          <w:szCs w:val="44"/>
        </w:rPr>
      </w:pPr>
    </w:p>
    <w:p>
      <w:pPr>
        <w:pStyle w:val="2"/>
        <w:ind w:firstLine="908"/>
        <w:rPr>
          <w:rFonts w:ascii="方正小标宋简体" w:hAnsi="方正小标宋简体" w:eastAsia="方正小标宋简体" w:cs="方正小标宋简体"/>
          <w:color w:val="000000"/>
          <w:spacing w:val="7"/>
          <w:sz w:val="44"/>
          <w:szCs w:val="44"/>
        </w:rPr>
      </w:pPr>
    </w:p>
    <w:p>
      <w:pPr>
        <w:pStyle w:val="2"/>
        <w:ind w:firstLine="0" w:firstLineChars="0"/>
        <w:rPr>
          <w:rFonts w:ascii="方正小标宋简体" w:hAnsi="方正小标宋简体" w:eastAsia="方正小标宋简体" w:cs="方正小标宋简体"/>
          <w:color w:val="000000"/>
          <w:spacing w:val="7"/>
          <w:sz w:val="44"/>
          <w:szCs w:val="44"/>
        </w:rPr>
      </w:pPr>
    </w:p>
    <w:p>
      <w:pPr>
        <w:pStyle w:val="2"/>
        <w:ind w:firstLine="0" w:firstLineChars="0"/>
        <w:rPr>
          <w:rFonts w:ascii="方正小标宋简体" w:hAnsi="方正小标宋简体" w:eastAsia="方正小标宋简体" w:cs="方正小标宋简体"/>
          <w:color w:val="000000"/>
          <w:spacing w:val="7"/>
          <w:sz w:val="44"/>
          <w:szCs w:val="44"/>
        </w:rPr>
      </w:pPr>
    </w:p>
    <w:p>
      <w:pPr>
        <w:pStyle w:val="2"/>
        <w:ind w:firstLine="0" w:firstLineChars="0"/>
        <w:rPr>
          <w:rFonts w:ascii="方正小标宋简体" w:hAnsi="方正小标宋简体" w:eastAsia="方正小标宋简体" w:cs="方正小标宋简体"/>
          <w:color w:val="000000"/>
          <w:spacing w:val="7"/>
          <w:sz w:val="44"/>
          <w:szCs w:val="44"/>
        </w:rPr>
      </w:pPr>
    </w:p>
    <w:p>
      <w:pPr>
        <w:pStyle w:val="2"/>
        <w:ind w:firstLine="0" w:firstLineChars="0"/>
        <w:rPr>
          <w:rFonts w:ascii="方正小标宋简体" w:hAnsi="方正小标宋简体" w:eastAsia="方正小标宋简体" w:cs="方正小标宋简体"/>
          <w:color w:val="000000"/>
          <w:spacing w:val="7"/>
          <w:sz w:val="44"/>
          <w:szCs w:val="44"/>
        </w:rPr>
      </w:pPr>
    </w:p>
    <w:p>
      <w:pPr>
        <w:pStyle w:val="2"/>
        <w:ind w:firstLine="0" w:firstLineChars="0"/>
        <w:rPr>
          <w:rFonts w:ascii="方正小标宋简体" w:hAnsi="方正小标宋简体" w:eastAsia="方正小标宋简体" w:cs="方正小标宋简体"/>
          <w:color w:val="000000"/>
          <w:spacing w:val="7"/>
          <w:sz w:val="44"/>
          <w:szCs w:val="44"/>
        </w:rPr>
      </w:pPr>
    </w:p>
    <w:p>
      <w:pPr>
        <w:pStyle w:val="2"/>
        <w:ind w:firstLine="0" w:firstLineChars="0"/>
        <w:rPr>
          <w:rFonts w:ascii="方正小标宋简体" w:hAnsi="方正小标宋简体" w:eastAsia="方正小标宋简体" w:cs="方正小标宋简体"/>
          <w:color w:val="000000"/>
          <w:spacing w:val="7"/>
          <w:sz w:val="44"/>
          <w:szCs w:val="44"/>
        </w:rPr>
      </w:pPr>
    </w:p>
    <w:p>
      <w:pPr>
        <w:pStyle w:val="2"/>
        <w:ind w:firstLine="0" w:firstLineChars="0"/>
        <w:rPr>
          <w:rFonts w:ascii="方正小标宋简体" w:hAnsi="方正小标宋简体" w:eastAsia="方正小标宋简体" w:cs="方正小标宋简体"/>
          <w:color w:val="000000"/>
          <w:spacing w:val="7"/>
          <w:sz w:val="44"/>
          <w:szCs w:val="44"/>
        </w:rPr>
      </w:pPr>
    </w:p>
    <w:p>
      <w:pPr>
        <w:pStyle w:val="2"/>
        <w:ind w:firstLine="0" w:firstLineChars="0"/>
        <w:rPr>
          <w:rFonts w:ascii="方正小标宋简体" w:hAnsi="方正小标宋简体" w:eastAsia="方正小标宋简体" w:cs="方正小标宋简体"/>
          <w:color w:val="000000"/>
          <w:spacing w:val="7"/>
          <w:sz w:val="44"/>
          <w:szCs w:val="44"/>
        </w:rPr>
      </w:pPr>
    </w:p>
    <w:p>
      <w:pPr>
        <w:pStyle w:val="2"/>
        <w:ind w:firstLine="0" w:firstLineChars="0"/>
        <w:rPr>
          <w:rFonts w:ascii="方正小标宋简体" w:hAnsi="方正小标宋简体" w:eastAsia="方正小标宋简体" w:cs="方正小标宋简体"/>
          <w:color w:val="000000"/>
          <w:spacing w:val="7"/>
          <w:sz w:val="44"/>
          <w:szCs w:val="44"/>
        </w:rPr>
      </w:pPr>
    </w:p>
    <w:tbl>
      <w:tblPr>
        <w:tblStyle w:val="8"/>
        <w:tblW w:w="8965" w:type="dxa"/>
        <w:tblInd w:w="-76" w:type="dxa"/>
        <w:tblLayout w:type="fixed"/>
        <w:tblCellMar>
          <w:top w:w="0" w:type="dxa"/>
          <w:left w:w="0" w:type="dxa"/>
          <w:bottom w:w="0" w:type="dxa"/>
          <w:right w:w="0" w:type="dxa"/>
        </w:tblCellMar>
      </w:tblPr>
      <w:tblGrid>
        <w:gridCol w:w="8965"/>
      </w:tblGrid>
      <w:tr>
        <w:tblPrEx>
          <w:tblCellMar>
            <w:top w:w="0" w:type="dxa"/>
            <w:left w:w="0" w:type="dxa"/>
            <w:bottom w:w="0" w:type="dxa"/>
            <w:right w:w="0" w:type="dxa"/>
          </w:tblCellMar>
        </w:tblPrEx>
        <w:trPr>
          <w:trHeight w:val="450" w:hRule="atLeast"/>
        </w:trPr>
        <w:tc>
          <w:tcPr>
            <w:tcW w:w="8965" w:type="dxa"/>
            <w:tcBorders>
              <w:top w:val="nil"/>
              <w:left w:val="nil"/>
              <w:bottom w:val="nil"/>
              <w:right w:val="nil"/>
            </w:tcBorders>
            <w:shd w:val="clear" w:color="auto" w:fill="FFFFFF"/>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sz w:val="28"/>
                <w:szCs w:val="28"/>
              </w:rPr>
            </w:pPr>
            <w:r>
              <w:rPr>
                <w:rFonts w:hint="eastAsia" w:ascii="方正小标宋简体" w:hAnsi="方正小标宋简体" w:eastAsia="方正小标宋简体" w:cs="方正小标宋简体"/>
                <w:spacing w:val="7"/>
                <w:sz w:val="44"/>
                <w:szCs w:val="44"/>
              </w:rPr>
              <w:t>景宁县项目支出绩效自评表（参考表式）</w:t>
            </w:r>
          </w:p>
        </w:tc>
      </w:tr>
      <w:tr>
        <w:tblPrEx>
          <w:tblCellMar>
            <w:top w:w="0" w:type="dxa"/>
            <w:left w:w="0" w:type="dxa"/>
            <w:bottom w:w="0" w:type="dxa"/>
            <w:right w:w="0" w:type="dxa"/>
          </w:tblCellMar>
        </w:tblPrEx>
        <w:trPr>
          <w:trHeight w:val="195" w:hRule="atLeast"/>
        </w:trPr>
        <w:tc>
          <w:tcPr>
            <w:tcW w:w="8965" w:type="dxa"/>
            <w:tcBorders>
              <w:top w:val="nil"/>
              <w:left w:val="nil"/>
              <w:bottom w:val="nil"/>
              <w:right w:val="nil"/>
            </w:tcBorders>
            <w:shd w:val="clear" w:color="auto" w:fill="FFFFFF"/>
            <w:tcMar>
              <w:top w:w="0" w:type="dxa"/>
              <w:left w:w="105" w:type="dxa"/>
              <w:bottom w:w="0" w:type="dxa"/>
              <w:right w:w="105" w:type="dxa"/>
            </w:tcMar>
          </w:tcPr>
          <w:p>
            <w:pPr>
              <w:wordWrap w:val="0"/>
              <w:spacing w:line="195" w:lineRule="atLeast"/>
              <w:jc w:val="center"/>
              <w:rPr>
                <w:rFonts w:ascii="宋体" w:hAnsi="宋体" w:cs="宋体"/>
                <w:spacing w:val="7"/>
                <w:sz w:val="18"/>
                <w:szCs w:val="18"/>
              </w:rPr>
            </w:pPr>
            <w:r>
              <w:rPr>
                <w:rFonts w:hint="eastAsia" w:ascii="宋体" w:hAnsi="宋体" w:cs="宋体"/>
                <w:spacing w:val="7"/>
                <w:sz w:val="18"/>
                <w:szCs w:val="18"/>
              </w:rPr>
              <w:t>（2021年度）</w:t>
            </w:r>
          </w:p>
        </w:tc>
      </w:tr>
    </w:tbl>
    <w:p/>
    <w:tbl>
      <w:tblPr>
        <w:tblStyle w:val="8"/>
        <w:tblW w:w="8970" w:type="dxa"/>
        <w:tblInd w:w="-76" w:type="dxa"/>
        <w:tblLayout w:type="fixed"/>
        <w:tblCellMar>
          <w:top w:w="0" w:type="dxa"/>
          <w:left w:w="0" w:type="dxa"/>
          <w:bottom w:w="0" w:type="dxa"/>
          <w:right w:w="0" w:type="dxa"/>
        </w:tblCellMar>
      </w:tblPr>
      <w:tblGrid>
        <w:gridCol w:w="458"/>
        <w:gridCol w:w="492"/>
        <w:gridCol w:w="885"/>
        <w:gridCol w:w="108"/>
        <w:gridCol w:w="1274"/>
        <w:gridCol w:w="196"/>
        <w:gridCol w:w="1405"/>
        <w:gridCol w:w="1532"/>
        <w:gridCol w:w="677"/>
        <w:gridCol w:w="631"/>
        <w:gridCol w:w="300"/>
        <w:gridCol w:w="1012"/>
      </w:tblGrid>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项目名称</w:t>
            </w:r>
          </w:p>
        </w:tc>
        <w:tc>
          <w:tcPr>
            <w:tcW w:w="8020" w:type="dxa"/>
            <w:gridSpan w:val="10"/>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eastAsia="仿宋_GB2312"/>
                <w:sz w:val="24"/>
                <w:szCs w:val="24"/>
              </w:rPr>
              <w:t>“业务装备经费”</w:t>
            </w:r>
          </w:p>
        </w:tc>
      </w:tr>
      <w:tr>
        <w:tblPrEx>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主管部门</w:t>
            </w:r>
          </w:p>
        </w:tc>
        <w:tc>
          <w:tcPr>
            <w:tcW w:w="3868"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景宁畲族自治县公安局交通警察大队</w:t>
            </w: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实施单位</w:t>
            </w:r>
          </w:p>
        </w:tc>
        <w:tc>
          <w:tcPr>
            <w:tcW w:w="2620"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景宁畲族自治县公安局交通警察大队</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项目资金（万元）</w:t>
            </w: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年初预算数</w:t>
            </w: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全年执行数</w:t>
            </w:r>
          </w:p>
        </w:tc>
        <w:tc>
          <w:tcPr>
            <w:tcW w:w="10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执行率</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年度资金总额</w:t>
            </w:r>
          </w:p>
        </w:tc>
        <w:tc>
          <w:tcPr>
            <w:tcW w:w="1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261.40</w:t>
            </w: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261.40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250.69</w:t>
            </w:r>
          </w:p>
        </w:tc>
        <w:tc>
          <w:tcPr>
            <w:tcW w:w="10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Cs w:val="21"/>
              </w:rPr>
            </w:pPr>
            <w:r>
              <w:rPr>
                <w:rFonts w:hint="eastAsia" w:ascii="仿宋_GB2312" w:hAnsi="仿宋_GB2312" w:eastAsia="仿宋_GB2312" w:cs="仿宋_GB2312"/>
                <w:spacing w:val="7"/>
                <w:szCs w:val="21"/>
              </w:rPr>
              <w:t>95.90</w:t>
            </w:r>
            <w:r>
              <w:rPr>
                <w:rFonts w:ascii="仿宋_GB2312" w:hAnsi="仿宋_GB2312" w:eastAsia="仿宋_GB2312" w:cs="仿宋_GB2312"/>
                <w:spacing w:val="7"/>
                <w:szCs w:val="21"/>
              </w:rPr>
              <w:t>%</w:t>
            </w:r>
          </w:p>
        </w:tc>
      </w:tr>
      <w:tr>
        <w:tblPrEx>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其中：当年财政拨款</w:t>
            </w:r>
          </w:p>
        </w:tc>
        <w:tc>
          <w:tcPr>
            <w:tcW w:w="1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191.00</w:t>
            </w: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191.00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190.73</w:t>
            </w:r>
          </w:p>
        </w:tc>
        <w:tc>
          <w:tcPr>
            <w:tcW w:w="10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上年结转资金</w:t>
            </w:r>
          </w:p>
        </w:tc>
        <w:tc>
          <w:tcPr>
            <w:tcW w:w="1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70.40</w:t>
            </w: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70.40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59.96</w:t>
            </w:r>
          </w:p>
        </w:tc>
        <w:tc>
          <w:tcPr>
            <w:tcW w:w="10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宋体" w:hAnsi="宋体" w:cs="宋体"/>
                <w:spacing w:val="7"/>
                <w:sz w:val="24"/>
                <w:szCs w:val="24"/>
              </w:rPr>
              <w:t>  </w:t>
            </w:r>
            <w:r>
              <w:rPr>
                <w:rFonts w:hint="eastAsia" w:ascii="仿宋_GB2312" w:hAnsi="仿宋_GB2312" w:eastAsia="仿宋_GB2312" w:cs="仿宋_GB2312"/>
                <w:spacing w:val="7"/>
                <w:sz w:val="24"/>
                <w:szCs w:val="24"/>
              </w:rPr>
              <w:t>其他资金</w:t>
            </w:r>
          </w:p>
        </w:tc>
        <w:tc>
          <w:tcPr>
            <w:tcW w:w="1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0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年度总体目标</w:t>
            </w:r>
          </w:p>
        </w:tc>
        <w:tc>
          <w:tcPr>
            <w:tcW w:w="3868"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预期目标</w:t>
            </w:r>
          </w:p>
        </w:tc>
        <w:tc>
          <w:tcPr>
            <w:tcW w:w="4152"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实际完成情况</w:t>
            </w:r>
          </w:p>
        </w:tc>
      </w:tr>
      <w:tr>
        <w:tblPrEx>
          <w:tblCellMar>
            <w:top w:w="0" w:type="dxa"/>
            <w:left w:w="0" w:type="dxa"/>
            <w:bottom w:w="0" w:type="dxa"/>
            <w:right w:w="0" w:type="dxa"/>
          </w:tblCellMar>
        </w:tblPrEx>
        <w:trPr>
          <w:trHeight w:val="894"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3868"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lef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维护道路交通秩序，预防和减少交通事故，保护人身安全，保护公民、法人和其他组织的财产安全及其他合法权益，提高通行效率</w:t>
            </w:r>
          </w:p>
        </w:tc>
        <w:tc>
          <w:tcPr>
            <w:tcW w:w="4152"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lef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购置警用摩托车10辆、酒精检测仪8台、酒精排查仪14台、红绿灯项目首付款、智能案卷柜（办案中队）、交通违法管理平台、警用交通事故勘察车、警用巡逻车、执法记录仪采集站、车管所用身份证阅读器、塑封机等警用装备及棉马甲、单警装备、分体雨衣、路障救生圈、脚叉等其他设备，共支付250.69万元。保障了装备购置经费的运转，维护道路交通秩序，预防和减少交通事故，保护人民群众生命财产安全。</w:t>
            </w:r>
          </w:p>
        </w:tc>
      </w:tr>
      <w:tr>
        <w:tblPrEx>
          <w:tblCellMar>
            <w:top w:w="0" w:type="dxa"/>
            <w:left w:w="0" w:type="dxa"/>
            <w:bottom w:w="0" w:type="dxa"/>
            <w:right w:w="0" w:type="dxa"/>
          </w:tblCellMar>
        </w:tblPrEx>
        <w:trPr>
          <w:trHeight w:val="540" w:hRule="atLeast"/>
        </w:trPr>
        <w:tc>
          <w:tcPr>
            <w:tcW w:w="458" w:type="dxa"/>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绩效指标</w:t>
            </w:r>
          </w:p>
        </w:tc>
        <w:tc>
          <w:tcPr>
            <w:tcW w:w="492"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一级指标</w:t>
            </w:r>
          </w:p>
        </w:tc>
        <w:tc>
          <w:tcPr>
            <w:tcW w:w="993"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二级指标</w:t>
            </w:r>
          </w:p>
        </w:tc>
        <w:tc>
          <w:tcPr>
            <w:tcW w:w="1274"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三级指标</w:t>
            </w:r>
          </w:p>
        </w:tc>
        <w:tc>
          <w:tcPr>
            <w:tcW w:w="1601"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指标值</w:t>
            </w:r>
          </w:p>
        </w:tc>
        <w:tc>
          <w:tcPr>
            <w:tcW w:w="1532"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实际</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完成值</w:t>
            </w:r>
          </w:p>
        </w:tc>
        <w:tc>
          <w:tcPr>
            <w:tcW w:w="677"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权重</w:t>
            </w:r>
          </w:p>
        </w:tc>
        <w:tc>
          <w:tcPr>
            <w:tcW w:w="631"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得分</w:t>
            </w:r>
          </w:p>
        </w:tc>
        <w:tc>
          <w:tcPr>
            <w:tcW w:w="1312" w:type="dxa"/>
            <w:gridSpan w:val="2"/>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偏差原因分析及改进措施</w:t>
            </w:r>
          </w:p>
        </w:tc>
      </w:tr>
      <w:tr>
        <w:tblPrEx>
          <w:tblCellMar>
            <w:top w:w="0" w:type="dxa"/>
            <w:left w:w="0" w:type="dxa"/>
            <w:bottom w:w="0" w:type="dxa"/>
            <w:right w:w="0" w:type="dxa"/>
          </w:tblCellMar>
        </w:tblPrEx>
        <w:trPr>
          <w:trHeight w:val="913"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产出指标</w:t>
            </w:r>
          </w:p>
        </w:tc>
        <w:tc>
          <w:tcPr>
            <w:tcW w:w="993" w:type="dxa"/>
            <w:gridSpan w:val="2"/>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数量</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执法办案数量</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16件</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37000</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889"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c>
          <w:tcPr>
            <w:tcW w:w="993" w:type="dxa"/>
            <w:gridSpan w:val="2"/>
            <w:vMerge w:val="continue"/>
            <w:tcBorders>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购置专业设备数量</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50台/件</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65件</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945"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质量指标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案件办结率</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jc w:val="center"/>
              <w:rPr>
                <w:rFonts w:ascii="仿宋_GB2312" w:hAnsi="仿宋_GB2312" w:eastAsia="仿宋_GB2312" w:cs="仿宋_GB2312"/>
                <w:spacing w:val="7"/>
                <w:sz w:val="24"/>
                <w:szCs w:val="24"/>
              </w:rPr>
            </w:pPr>
            <w:r>
              <w:rPr>
                <w:rFonts w:hint="eastAsia"/>
              </w:rPr>
              <w:t>100.00%</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rPr>
              <w:t>100.00%</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104"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时效</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521"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成本</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pPr>
            <w:r>
              <w:rPr>
                <w:rFonts w:hint="eastAsia" w:ascii="仿宋_GB2312" w:hAnsi="仿宋_GB2312" w:eastAsia="仿宋_GB2312" w:cs="仿宋_GB2312"/>
                <w:spacing w:val="7"/>
                <w:sz w:val="24"/>
                <w:szCs w:val="24"/>
              </w:rPr>
              <w:t>项目成本是否控制在预期内</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261.40万元</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250.69万元</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 xml:space="preserve"> 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052"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效益指标</w:t>
            </w:r>
          </w:p>
        </w:tc>
        <w:tc>
          <w:tcPr>
            <w:tcW w:w="993" w:type="dxa"/>
            <w:gridSpan w:val="2"/>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经济效益指标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罚没金额（实物）</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420万元/件</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500万元</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052"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c>
          <w:tcPr>
            <w:tcW w:w="993" w:type="dxa"/>
            <w:gridSpan w:val="2"/>
            <w:vMerge w:val="continue"/>
            <w:tcBorders>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保障人民群众人身和财产安全</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保障人民群众人身和财产安全</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保障人民群众人身和财产安全</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9</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363"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社会效益指标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保障交通安全与畅通</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保障交通安全与畅通</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保障交通安全与畅通</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9</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363"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vMerge w:val="continue"/>
            <w:tcBorders>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促进社会稳定和谐</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有所促进</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有所促进</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695"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生态效益指标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691" w:hRule="atLeast"/>
        </w:trPr>
        <w:tc>
          <w:tcPr>
            <w:tcW w:w="458" w:type="dxa"/>
            <w:vMerge w:val="restart"/>
            <w:tcBorders>
              <w:top w:val="nil"/>
              <w:left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可持续影响指标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持续地巩固我县城区交通秩序科技管理</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有效巩固</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有效巩固</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9</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804"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满意度</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服务对象满意度指标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服务人员满意度</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ind w:firstLine="254" w:firstLineChars="10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≥90%</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ind w:firstLine="254" w:firstLineChars="10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≥90%</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 xml:space="preserve"> 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9</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634" w:hRule="atLeast"/>
        </w:trPr>
        <w:tc>
          <w:tcPr>
            <w:tcW w:w="6350" w:type="dxa"/>
            <w:gridSpan w:val="8"/>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总分</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 xml:space="preserve"> 95</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355"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自评结论</w:t>
            </w:r>
          </w:p>
        </w:tc>
        <w:tc>
          <w:tcPr>
            <w:tcW w:w="4515"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color w:val="000000"/>
                <w:sz w:val="24"/>
                <w:szCs w:val="24"/>
                <w:highlight w:val="yellow"/>
              </w:rPr>
              <w:t>优</w:t>
            </w:r>
            <w:r>
              <w:rPr>
                <w:rFonts w:hint="eastAsia" w:ascii="仿宋_GB2312" w:hAnsi="仿宋_GB2312" w:eastAsia="仿宋_GB2312" w:cs="仿宋_GB2312"/>
                <w:color w:val="000000"/>
                <w:sz w:val="24"/>
                <w:szCs w:val="24"/>
                <w:highlight w:val="yellow"/>
              </w:rPr>
              <w:sym w:font="Wingdings 2" w:char="0052"/>
            </w:r>
            <w:r>
              <w:rPr>
                <w:rFonts w:hint="eastAsia" w:ascii="仿宋_GB2312" w:hAnsi="仿宋_GB2312" w:eastAsia="仿宋_GB2312" w:cs="仿宋_GB2312"/>
                <w:color w:val="000000"/>
                <w:sz w:val="24"/>
                <w:szCs w:val="24"/>
                <w:highlight w:val="yellow"/>
              </w:rPr>
              <w:t xml:space="preserve">      良□      中□    差□</w:t>
            </w:r>
          </w:p>
        </w:tc>
        <w:tc>
          <w:tcPr>
            <w:tcW w:w="2620"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color w:val="000000"/>
                <w:sz w:val="24"/>
                <w:szCs w:val="24"/>
              </w:rPr>
              <w:t>总分高于90分（含）的结论为“优”，90～80分（含）为“良”，80～60分（含）为“中”，低于60分为“差”。</w:t>
            </w:r>
          </w:p>
        </w:tc>
      </w:tr>
    </w:tbl>
    <w:p>
      <w:pPr>
        <w:wordWrap w:val="0"/>
        <w:autoSpaceDE/>
        <w:autoSpaceDN/>
        <w:adjustRightInd/>
        <w:spacing w:line="600" w:lineRule="exact"/>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Arial Unicode MS"/>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altName w:val="Arial Unicode MS"/>
    <w:panose1 w:val="02010609060101010101"/>
    <w:charset w:val="86"/>
    <w:family w:val="modern"/>
    <w:pitch w:val="default"/>
    <w:sig w:usb0="00000000" w:usb1="00000000" w:usb2="00000016" w:usb3="00000000" w:csb0="00040001" w:csb1="00000000"/>
  </w:font>
  <w:font w:name="方正书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16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2DF6C"/>
    <w:multiLevelType w:val="singleLevel"/>
    <w:tmpl w:val="8032DF6C"/>
    <w:lvl w:ilvl="0" w:tentative="0">
      <w:start w:val="2"/>
      <w:numFmt w:val="decimal"/>
      <w:suff w:val="nothing"/>
      <w:lvlText w:val="%1、"/>
      <w:lvlJc w:val="left"/>
    </w:lvl>
  </w:abstractNum>
  <w:abstractNum w:abstractNumId="1">
    <w:nsid w:val="A8028BCB"/>
    <w:multiLevelType w:val="singleLevel"/>
    <w:tmpl w:val="A8028BC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FmODc1MDNjMzYzZDdmOTg5ODM5MWI5NjVmMzNiMDEifQ=="/>
  </w:docVars>
  <w:rsids>
    <w:rsidRoot w:val="004A044E"/>
    <w:rsid w:val="00007E5E"/>
    <w:rsid w:val="00014769"/>
    <w:rsid w:val="000618BE"/>
    <w:rsid w:val="00063D19"/>
    <w:rsid w:val="000A6081"/>
    <w:rsid w:val="000D31DA"/>
    <w:rsid w:val="000F654D"/>
    <w:rsid w:val="00113CC5"/>
    <w:rsid w:val="00117C05"/>
    <w:rsid w:val="00136FAF"/>
    <w:rsid w:val="001B39D8"/>
    <w:rsid w:val="001C38EF"/>
    <w:rsid w:val="001D45F0"/>
    <w:rsid w:val="001D6345"/>
    <w:rsid w:val="002025CB"/>
    <w:rsid w:val="00203891"/>
    <w:rsid w:val="00210227"/>
    <w:rsid w:val="002127A1"/>
    <w:rsid w:val="00212E5B"/>
    <w:rsid w:val="0021728F"/>
    <w:rsid w:val="0021782D"/>
    <w:rsid w:val="002525B3"/>
    <w:rsid w:val="00296D5E"/>
    <w:rsid w:val="002A75C4"/>
    <w:rsid w:val="002F5B54"/>
    <w:rsid w:val="0030559F"/>
    <w:rsid w:val="00306F33"/>
    <w:rsid w:val="00317B12"/>
    <w:rsid w:val="00335FFB"/>
    <w:rsid w:val="00336020"/>
    <w:rsid w:val="00353DDF"/>
    <w:rsid w:val="00382AC3"/>
    <w:rsid w:val="003E1B58"/>
    <w:rsid w:val="003E7058"/>
    <w:rsid w:val="003F68F4"/>
    <w:rsid w:val="004261BF"/>
    <w:rsid w:val="00454792"/>
    <w:rsid w:val="004A044E"/>
    <w:rsid w:val="00501C92"/>
    <w:rsid w:val="00585729"/>
    <w:rsid w:val="005C275D"/>
    <w:rsid w:val="005E7F81"/>
    <w:rsid w:val="0064687C"/>
    <w:rsid w:val="00690E37"/>
    <w:rsid w:val="006933C9"/>
    <w:rsid w:val="006A436E"/>
    <w:rsid w:val="006F4DE6"/>
    <w:rsid w:val="00705595"/>
    <w:rsid w:val="00707FEF"/>
    <w:rsid w:val="00757D76"/>
    <w:rsid w:val="007666ED"/>
    <w:rsid w:val="007950DC"/>
    <w:rsid w:val="007A4B2D"/>
    <w:rsid w:val="007D3A67"/>
    <w:rsid w:val="00827B3E"/>
    <w:rsid w:val="00837D9C"/>
    <w:rsid w:val="0084663E"/>
    <w:rsid w:val="008A1B26"/>
    <w:rsid w:val="008F17D9"/>
    <w:rsid w:val="00902136"/>
    <w:rsid w:val="00933BD1"/>
    <w:rsid w:val="00966297"/>
    <w:rsid w:val="009C1AB1"/>
    <w:rsid w:val="009C5050"/>
    <w:rsid w:val="009C790B"/>
    <w:rsid w:val="009C7C30"/>
    <w:rsid w:val="009D119B"/>
    <w:rsid w:val="009E05A7"/>
    <w:rsid w:val="009E1910"/>
    <w:rsid w:val="00AC06D2"/>
    <w:rsid w:val="00AC274A"/>
    <w:rsid w:val="00B16DC6"/>
    <w:rsid w:val="00B17470"/>
    <w:rsid w:val="00B56910"/>
    <w:rsid w:val="00B821C7"/>
    <w:rsid w:val="00B9443A"/>
    <w:rsid w:val="00BD3206"/>
    <w:rsid w:val="00BE1532"/>
    <w:rsid w:val="00C024E6"/>
    <w:rsid w:val="00C20917"/>
    <w:rsid w:val="00C45F2F"/>
    <w:rsid w:val="00C86FEE"/>
    <w:rsid w:val="00D041F3"/>
    <w:rsid w:val="00D42FC0"/>
    <w:rsid w:val="00D82038"/>
    <w:rsid w:val="00D900C1"/>
    <w:rsid w:val="00DB0E85"/>
    <w:rsid w:val="00E107B8"/>
    <w:rsid w:val="00E1150F"/>
    <w:rsid w:val="00E455B5"/>
    <w:rsid w:val="00E5106D"/>
    <w:rsid w:val="00E96C82"/>
    <w:rsid w:val="00F07627"/>
    <w:rsid w:val="00F164CB"/>
    <w:rsid w:val="00F44598"/>
    <w:rsid w:val="00F66E53"/>
    <w:rsid w:val="00FB4942"/>
    <w:rsid w:val="011D7141"/>
    <w:rsid w:val="012F2FAD"/>
    <w:rsid w:val="01A4468C"/>
    <w:rsid w:val="01B22160"/>
    <w:rsid w:val="01BB59BE"/>
    <w:rsid w:val="01F1322F"/>
    <w:rsid w:val="021827A5"/>
    <w:rsid w:val="02557C87"/>
    <w:rsid w:val="02785C71"/>
    <w:rsid w:val="027B72B1"/>
    <w:rsid w:val="02B1066F"/>
    <w:rsid w:val="02B849F3"/>
    <w:rsid w:val="031C381D"/>
    <w:rsid w:val="033D34A2"/>
    <w:rsid w:val="034251F7"/>
    <w:rsid w:val="034416AE"/>
    <w:rsid w:val="03A973A0"/>
    <w:rsid w:val="03B23583"/>
    <w:rsid w:val="041859B0"/>
    <w:rsid w:val="04307D2D"/>
    <w:rsid w:val="05192CFE"/>
    <w:rsid w:val="05213317"/>
    <w:rsid w:val="05AD0DCC"/>
    <w:rsid w:val="05AF57FA"/>
    <w:rsid w:val="05D20A9A"/>
    <w:rsid w:val="061C32AB"/>
    <w:rsid w:val="06284AE5"/>
    <w:rsid w:val="066F314B"/>
    <w:rsid w:val="06837F2E"/>
    <w:rsid w:val="06AB75C6"/>
    <w:rsid w:val="06D53264"/>
    <w:rsid w:val="070E6E9F"/>
    <w:rsid w:val="07303E49"/>
    <w:rsid w:val="0770286B"/>
    <w:rsid w:val="08A40BE4"/>
    <w:rsid w:val="08B91EFF"/>
    <w:rsid w:val="08C44030"/>
    <w:rsid w:val="093018CD"/>
    <w:rsid w:val="0952153F"/>
    <w:rsid w:val="0956799A"/>
    <w:rsid w:val="09A62D39"/>
    <w:rsid w:val="0A543234"/>
    <w:rsid w:val="0AF06F46"/>
    <w:rsid w:val="0B554DF5"/>
    <w:rsid w:val="0B660F36"/>
    <w:rsid w:val="0C3C22A0"/>
    <w:rsid w:val="0C691A33"/>
    <w:rsid w:val="0CD65583"/>
    <w:rsid w:val="0D0221EE"/>
    <w:rsid w:val="0D0C7B8D"/>
    <w:rsid w:val="0DD85023"/>
    <w:rsid w:val="0DE13918"/>
    <w:rsid w:val="0E0203F7"/>
    <w:rsid w:val="0E266744"/>
    <w:rsid w:val="0EB577E3"/>
    <w:rsid w:val="0EB61AAE"/>
    <w:rsid w:val="0EEC5B0F"/>
    <w:rsid w:val="0EEE6459"/>
    <w:rsid w:val="0F3C7F8C"/>
    <w:rsid w:val="0F80233D"/>
    <w:rsid w:val="100D0DD9"/>
    <w:rsid w:val="10B069DB"/>
    <w:rsid w:val="11AA1D71"/>
    <w:rsid w:val="11CF4A97"/>
    <w:rsid w:val="11FE21B2"/>
    <w:rsid w:val="120D7AD6"/>
    <w:rsid w:val="121266D9"/>
    <w:rsid w:val="124335FF"/>
    <w:rsid w:val="12D31871"/>
    <w:rsid w:val="12F73252"/>
    <w:rsid w:val="135B6C89"/>
    <w:rsid w:val="139D1431"/>
    <w:rsid w:val="13C87342"/>
    <w:rsid w:val="14B5755A"/>
    <w:rsid w:val="14CD56AD"/>
    <w:rsid w:val="14CF5112"/>
    <w:rsid w:val="14D1061F"/>
    <w:rsid w:val="157D6CEC"/>
    <w:rsid w:val="15CC3604"/>
    <w:rsid w:val="15E717FD"/>
    <w:rsid w:val="15F31CE0"/>
    <w:rsid w:val="16091F4A"/>
    <w:rsid w:val="161A0E1B"/>
    <w:rsid w:val="16C37809"/>
    <w:rsid w:val="17240096"/>
    <w:rsid w:val="17941948"/>
    <w:rsid w:val="17DC5EC3"/>
    <w:rsid w:val="181A0838"/>
    <w:rsid w:val="182531E5"/>
    <w:rsid w:val="188E02A4"/>
    <w:rsid w:val="18E9099F"/>
    <w:rsid w:val="19532A33"/>
    <w:rsid w:val="19AE4A98"/>
    <w:rsid w:val="19D1592B"/>
    <w:rsid w:val="1A0314E0"/>
    <w:rsid w:val="1A2F5433"/>
    <w:rsid w:val="1A976717"/>
    <w:rsid w:val="1AFD0A64"/>
    <w:rsid w:val="1B054BC7"/>
    <w:rsid w:val="1B715D22"/>
    <w:rsid w:val="1B772383"/>
    <w:rsid w:val="1B786815"/>
    <w:rsid w:val="1B8F4E8F"/>
    <w:rsid w:val="1BDC3991"/>
    <w:rsid w:val="1C505664"/>
    <w:rsid w:val="1C68127A"/>
    <w:rsid w:val="1C847129"/>
    <w:rsid w:val="1C926528"/>
    <w:rsid w:val="1CBA4E5F"/>
    <w:rsid w:val="1D05780D"/>
    <w:rsid w:val="1D4A7C0F"/>
    <w:rsid w:val="1DB1550B"/>
    <w:rsid w:val="1E056EA5"/>
    <w:rsid w:val="1E2419AF"/>
    <w:rsid w:val="1E4A23BC"/>
    <w:rsid w:val="1F1A3246"/>
    <w:rsid w:val="1F671C03"/>
    <w:rsid w:val="1F856DAB"/>
    <w:rsid w:val="1FC83937"/>
    <w:rsid w:val="1FCB1A77"/>
    <w:rsid w:val="20315AA3"/>
    <w:rsid w:val="20370574"/>
    <w:rsid w:val="210F3EEB"/>
    <w:rsid w:val="213D22F1"/>
    <w:rsid w:val="225A7B03"/>
    <w:rsid w:val="225C62BE"/>
    <w:rsid w:val="22B30F20"/>
    <w:rsid w:val="22CB3A79"/>
    <w:rsid w:val="22FE0135"/>
    <w:rsid w:val="232B292E"/>
    <w:rsid w:val="233873E3"/>
    <w:rsid w:val="23690EFA"/>
    <w:rsid w:val="23A837FD"/>
    <w:rsid w:val="24174113"/>
    <w:rsid w:val="24196231"/>
    <w:rsid w:val="25046DF7"/>
    <w:rsid w:val="252C2926"/>
    <w:rsid w:val="25331971"/>
    <w:rsid w:val="253F4153"/>
    <w:rsid w:val="258D1C66"/>
    <w:rsid w:val="25B93C8D"/>
    <w:rsid w:val="26683FA5"/>
    <w:rsid w:val="267C1EEB"/>
    <w:rsid w:val="26D15241"/>
    <w:rsid w:val="2734303D"/>
    <w:rsid w:val="2776664F"/>
    <w:rsid w:val="278B658B"/>
    <w:rsid w:val="27C1208E"/>
    <w:rsid w:val="27EC6DC9"/>
    <w:rsid w:val="27F771D7"/>
    <w:rsid w:val="28704AD1"/>
    <w:rsid w:val="28896D8C"/>
    <w:rsid w:val="29586164"/>
    <w:rsid w:val="29A7165B"/>
    <w:rsid w:val="29DD688E"/>
    <w:rsid w:val="2A397878"/>
    <w:rsid w:val="2AA02E91"/>
    <w:rsid w:val="2B6D7A6C"/>
    <w:rsid w:val="2CED4B78"/>
    <w:rsid w:val="2D200D0E"/>
    <w:rsid w:val="2DC36893"/>
    <w:rsid w:val="2DF72ED9"/>
    <w:rsid w:val="2E83515E"/>
    <w:rsid w:val="2EC465DF"/>
    <w:rsid w:val="2F5E78CC"/>
    <w:rsid w:val="2F6C6565"/>
    <w:rsid w:val="2FD1773E"/>
    <w:rsid w:val="2FFA7316"/>
    <w:rsid w:val="308A0EE3"/>
    <w:rsid w:val="30F0371F"/>
    <w:rsid w:val="31734D6B"/>
    <w:rsid w:val="31736456"/>
    <w:rsid w:val="3197306E"/>
    <w:rsid w:val="31A44380"/>
    <w:rsid w:val="324307A6"/>
    <w:rsid w:val="324373EE"/>
    <w:rsid w:val="32786B14"/>
    <w:rsid w:val="336D0C3D"/>
    <w:rsid w:val="33830766"/>
    <w:rsid w:val="33E76E23"/>
    <w:rsid w:val="3491604D"/>
    <w:rsid w:val="34E94EEA"/>
    <w:rsid w:val="34EE6CC1"/>
    <w:rsid w:val="34FE37BC"/>
    <w:rsid w:val="3544447D"/>
    <w:rsid w:val="357532E4"/>
    <w:rsid w:val="35774A21"/>
    <w:rsid w:val="35D40594"/>
    <w:rsid w:val="35F31BE2"/>
    <w:rsid w:val="35FD51FE"/>
    <w:rsid w:val="36632D80"/>
    <w:rsid w:val="36815DE8"/>
    <w:rsid w:val="37307011"/>
    <w:rsid w:val="373E2BDA"/>
    <w:rsid w:val="37AB7837"/>
    <w:rsid w:val="380308FD"/>
    <w:rsid w:val="38691095"/>
    <w:rsid w:val="389C3CF9"/>
    <w:rsid w:val="39385E8A"/>
    <w:rsid w:val="396C327B"/>
    <w:rsid w:val="39800415"/>
    <w:rsid w:val="39B31753"/>
    <w:rsid w:val="3A5D0C34"/>
    <w:rsid w:val="3AB07305"/>
    <w:rsid w:val="3B5F515D"/>
    <w:rsid w:val="3B8C30C5"/>
    <w:rsid w:val="3BBB1A1D"/>
    <w:rsid w:val="3BF70233"/>
    <w:rsid w:val="3C2C446E"/>
    <w:rsid w:val="3C6354FE"/>
    <w:rsid w:val="3C803B80"/>
    <w:rsid w:val="3CAF753A"/>
    <w:rsid w:val="3CFF147D"/>
    <w:rsid w:val="3D383984"/>
    <w:rsid w:val="3DDF7E2A"/>
    <w:rsid w:val="3DEB15E4"/>
    <w:rsid w:val="3E411F6E"/>
    <w:rsid w:val="3EEF639C"/>
    <w:rsid w:val="3FAC07E3"/>
    <w:rsid w:val="3FCC5E76"/>
    <w:rsid w:val="409E3C83"/>
    <w:rsid w:val="40CC650D"/>
    <w:rsid w:val="411D4691"/>
    <w:rsid w:val="418869F8"/>
    <w:rsid w:val="41976FE3"/>
    <w:rsid w:val="41E225DE"/>
    <w:rsid w:val="41E36146"/>
    <w:rsid w:val="41E413BE"/>
    <w:rsid w:val="42BF618E"/>
    <w:rsid w:val="42D20CA7"/>
    <w:rsid w:val="430A1D0C"/>
    <w:rsid w:val="43155FCE"/>
    <w:rsid w:val="443D287E"/>
    <w:rsid w:val="44436F10"/>
    <w:rsid w:val="448E25A9"/>
    <w:rsid w:val="449A470A"/>
    <w:rsid w:val="44BD1E94"/>
    <w:rsid w:val="4526151E"/>
    <w:rsid w:val="45DF1BF8"/>
    <w:rsid w:val="46445CF6"/>
    <w:rsid w:val="470D3B67"/>
    <w:rsid w:val="47385CC5"/>
    <w:rsid w:val="47411C08"/>
    <w:rsid w:val="474B0490"/>
    <w:rsid w:val="474E1F6C"/>
    <w:rsid w:val="47A9792E"/>
    <w:rsid w:val="47C337F0"/>
    <w:rsid w:val="4814724D"/>
    <w:rsid w:val="486F3B0A"/>
    <w:rsid w:val="48916DA1"/>
    <w:rsid w:val="490A0B48"/>
    <w:rsid w:val="4913561C"/>
    <w:rsid w:val="494A17F8"/>
    <w:rsid w:val="49A23A37"/>
    <w:rsid w:val="49B965A4"/>
    <w:rsid w:val="49D73677"/>
    <w:rsid w:val="49FB48E5"/>
    <w:rsid w:val="4ACC2A2F"/>
    <w:rsid w:val="4AE80DAC"/>
    <w:rsid w:val="4B2261B4"/>
    <w:rsid w:val="4C374465"/>
    <w:rsid w:val="4C484BA8"/>
    <w:rsid w:val="4C6843D5"/>
    <w:rsid w:val="4C6C385D"/>
    <w:rsid w:val="4C9B61E9"/>
    <w:rsid w:val="4CBE3D9B"/>
    <w:rsid w:val="4D044353"/>
    <w:rsid w:val="4D3141B4"/>
    <w:rsid w:val="4D381213"/>
    <w:rsid w:val="4E6207FE"/>
    <w:rsid w:val="4E623641"/>
    <w:rsid w:val="4F15234E"/>
    <w:rsid w:val="4F20353F"/>
    <w:rsid w:val="4F4517A3"/>
    <w:rsid w:val="4F54796C"/>
    <w:rsid w:val="4F99658F"/>
    <w:rsid w:val="501D5543"/>
    <w:rsid w:val="520D028E"/>
    <w:rsid w:val="52401ED2"/>
    <w:rsid w:val="52641E5F"/>
    <w:rsid w:val="527F10FE"/>
    <w:rsid w:val="52B729E6"/>
    <w:rsid w:val="5335495C"/>
    <w:rsid w:val="53464986"/>
    <w:rsid w:val="53CF444F"/>
    <w:rsid w:val="5401482D"/>
    <w:rsid w:val="54DC67E7"/>
    <w:rsid w:val="55292C33"/>
    <w:rsid w:val="557213CB"/>
    <w:rsid w:val="55757BE1"/>
    <w:rsid w:val="55A7437E"/>
    <w:rsid w:val="55F847C8"/>
    <w:rsid w:val="56133180"/>
    <w:rsid w:val="570C3A25"/>
    <w:rsid w:val="57146F37"/>
    <w:rsid w:val="574009B0"/>
    <w:rsid w:val="57960F69"/>
    <w:rsid w:val="58076F4C"/>
    <w:rsid w:val="580C24A3"/>
    <w:rsid w:val="581D4EA5"/>
    <w:rsid w:val="582009F7"/>
    <w:rsid w:val="58387739"/>
    <w:rsid w:val="585A4825"/>
    <w:rsid w:val="587105C3"/>
    <w:rsid w:val="58845D9E"/>
    <w:rsid w:val="592327DD"/>
    <w:rsid w:val="598E0D62"/>
    <w:rsid w:val="5A1175EA"/>
    <w:rsid w:val="5AE6312D"/>
    <w:rsid w:val="5B0D4C71"/>
    <w:rsid w:val="5B2A0E9B"/>
    <w:rsid w:val="5B302BB2"/>
    <w:rsid w:val="5BB9444A"/>
    <w:rsid w:val="5BF716C4"/>
    <w:rsid w:val="5C337C0A"/>
    <w:rsid w:val="5C392920"/>
    <w:rsid w:val="5C866956"/>
    <w:rsid w:val="5C9F1518"/>
    <w:rsid w:val="5CB2456A"/>
    <w:rsid w:val="5D345061"/>
    <w:rsid w:val="5E442DDF"/>
    <w:rsid w:val="5ED14BDC"/>
    <w:rsid w:val="5F082D28"/>
    <w:rsid w:val="5F667FE9"/>
    <w:rsid w:val="5F6C0A35"/>
    <w:rsid w:val="5F841745"/>
    <w:rsid w:val="5FAF782F"/>
    <w:rsid w:val="5FF23F96"/>
    <w:rsid w:val="603164D7"/>
    <w:rsid w:val="60E41A82"/>
    <w:rsid w:val="620F5243"/>
    <w:rsid w:val="62511A64"/>
    <w:rsid w:val="62E629CB"/>
    <w:rsid w:val="63365F43"/>
    <w:rsid w:val="634652DF"/>
    <w:rsid w:val="644275BF"/>
    <w:rsid w:val="64790BD1"/>
    <w:rsid w:val="64CC5BCB"/>
    <w:rsid w:val="658605A7"/>
    <w:rsid w:val="65C37FD5"/>
    <w:rsid w:val="65DC70FB"/>
    <w:rsid w:val="65F870F1"/>
    <w:rsid w:val="661528F6"/>
    <w:rsid w:val="6720747F"/>
    <w:rsid w:val="67E549DC"/>
    <w:rsid w:val="68605713"/>
    <w:rsid w:val="686447F2"/>
    <w:rsid w:val="6919323E"/>
    <w:rsid w:val="694076FB"/>
    <w:rsid w:val="6A06256A"/>
    <w:rsid w:val="6A6C0858"/>
    <w:rsid w:val="6A8E0FBE"/>
    <w:rsid w:val="6A950FFA"/>
    <w:rsid w:val="6B516206"/>
    <w:rsid w:val="6B89009E"/>
    <w:rsid w:val="6B964BDD"/>
    <w:rsid w:val="6DBA7147"/>
    <w:rsid w:val="6E25065D"/>
    <w:rsid w:val="6EDE268A"/>
    <w:rsid w:val="6F3963B5"/>
    <w:rsid w:val="6F6B3FEA"/>
    <w:rsid w:val="6F724F4A"/>
    <w:rsid w:val="700B7BC5"/>
    <w:rsid w:val="70C3191D"/>
    <w:rsid w:val="71512465"/>
    <w:rsid w:val="71B858ED"/>
    <w:rsid w:val="71C17DB5"/>
    <w:rsid w:val="721E4C88"/>
    <w:rsid w:val="7239166B"/>
    <w:rsid w:val="72450ADE"/>
    <w:rsid w:val="725C3191"/>
    <w:rsid w:val="73021A9E"/>
    <w:rsid w:val="731112AD"/>
    <w:rsid w:val="744359D1"/>
    <w:rsid w:val="74816391"/>
    <w:rsid w:val="748A30EE"/>
    <w:rsid w:val="752016E2"/>
    <w:rsid w:val="76301DC1"/>
    <w:rsid w:val="76D26944"/>
    <w:rsid w:val="773110F4"/>
    <w:rsid w:val="77B67387"/>
    <w:rsid w:val="77BB489F"/>
    <w:rsid w:val="77C1639B"/>
    <w:rsid w:val="77DC7288"/>
    <w:rsid w:val="782347DB"/>
    <w:rsid w:val="78C92CD0"/>
    <w:rsid w:val="794C38BE"/>
    <w:rsid w:val="797973EB"/>
    <w:rsid w:val="79A264C0"/>
    <w:rsid w:val="79FE5AF0"/>
    <w:rsid w:val="7A4874D3"/>
    <w:rsid w:val="7A5D7885"/>
    <w:rsid w:val="7A883E55"/>
    <w:rsid w:val="7AA70A8F"/>
    <w:rsid w:val="7AD41872"/>
    <w:rsid w:val="7AFC4CFC"/>
    <w:rsid w:val="7B9522AA"/>
    <w:rsid w:val="7C490611"/>
    <w:rsid w:val="7D487663"/>
    <w:rsid w:val="7E0E289C"/>
    <w:rsid w:val="7F09225F"/>
    <w:rsid w:val="7F6620EA"/>
    <w:rsid w:val="7FE4029C"/>
    <w:rsid w:val="7FF66E5B"/>
    <w:rsid w:val="7FF87E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eastAsia="仿宋_GB2312"/>
      <w:sz w:val="32"/>
      <w:szCs w:val="22"/>
    </w:rPr>
  </w:style>
  <w:style w:type="paragraph" w:styleId="3">
    <w:name w:val="Body Text"/>
    <w:basedOn w:val="1"/>
    <w:qFormat/>
    <w:uiPriority w:val="0"/>
    <w:pPr>
      <w:spacing w:after="12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1043</Words>
  <Characters>5949</Characters>
  <Lines>49</Lines>
  <Paragraphs>13</Paragraphs>
  <TotalTime>22</TotalTime>
  <ScaleCrop>false</ScaleCrop>
  <LinksUpToDate>false</LinksUpToDate>
  <CharactersWithSpaces>6979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2020-12-25T02:13:00Z</dcterms:created>
  <dc:creator>yuxiaopang</dc:creator>
  <cp:lastModifiedBy>Administrator</cp:lastModifiedBy>
  <cp:lastPrinted>2022-02-27T07:53:00Z</cp:lastPrinted>
  <dcterms:modified xsi:type="dcterms:W3CDTF">2023-12-11T06:01:33Z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1B66F20F3D0B4E9C8F31B259479BE92A</vt:lpwstr>
  </property>
</Properties>
</file>