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40" w:lineRule="exact"/>
        <w:ind w:right="0" w:rightChars="0"/>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autoSpaceDE/>
        <w:autoSpaceDN/>
        <w:bidi w:val="0"/>
        <w:adjustRightInd/>
        <w:snapToGrid w:val="0"/>
        <w:spacing w:line="540" w:lineRule="exact"/>
        <w:ind w:right="0" w:rightChars="0"/>
        <w:jc w:val="center"/>
        <w:textAlignment w:val="auto"/>
        <w:rPr>
          <w:rFonts w:hint="eastAsia" w:ascii="方正小标宋简体" w:hAnsi="方正小标宋简体" w:eastAsia="方正小标宋简体" w:cs="方正小标宋简体"/>
          <w:bCs/>
          <w:spacing w:val="15"/>
          <w:sz w:val="44"/>
          <w:szCs w:val="44"/>
          <w:highlight w:val="none"/>
          <w:lang w:val="en-US" w:eastAsia="zh-CN"/>
        </w:rPr>
      </w:pPr>
      <w:r>
        <w:rPr>
          <w:rFonts w:hint="eastAsia" w:ascii="方正小标宋简体" w:hAnsi="方正小标宋简体" w:eastAsia="方正小标宋简体" w:cs="方正小标宋简体"/>
          <w:bCs/>
          <w:spacing w:val="15"/>
          <w:sz w:val="44"/>
          <w:szCs w:val="44"/>
          <w:highlight w:val="none"/>
          <w:lang w:eastAsia="zh-CN"/>
        </w:rPr>
        <w:t>景宁畲族自治县农业农村局（本级）</w:t>
      </w:r>
    </w:p>
    <w:p>
      <w:pPr>
        <w:keepNext w:val="0"/>
        <w:keepLines w:val="0"/>
        <w:pageBreakBefore w:val="0"/>
        <w:kinsoku/>
        <w:wordWrap/>
        <w:overflowPunct/>
        <w:topLinePunct w:val="0"/>
        <w:autoSpaceDE/>
        <w:autoSpaceDN/>
        <w:bidi w:val="0"/>
        <w:adjustRightInd/>
        <w:snapToGrid w:val="0"/>
        <w:spacing w:line="540" w:lineRule="exact"/>
        <w:ind w:right="0" w:rightChars="0"/>
        <w:jc w:val="center"/>
        <w:textAlignment w:val="auto"/>
        <w:rPr>
          <w:rStyle w:val="8"/>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2021</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val="0"/>
        <w:spacing w:line="54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景宁畲族自治县</w:t>
      </w:r>
      <w:r>
        <w:rPr>
          <w:rStyle w:val="8"/>
          <w:rFonts w:hint="eastAsia" w:ascii="黑体" w:eastAsia="黑体"/>
          <w:b w:val="0"/>
          <w:color w:val="000000"/>
          <w:sz w:val="32"/>
          <w:szCs w:val="32"/>
          <w:highlight w:val="none"/>
          <w:lang w:val="en-US" w:eastAsia="zh-CN"/>
        </w:rPr>
        <w:t>农业农村局（本级）</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val="0"/>
        <w:spacing w:line="54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rPr>
        <w:t>统筹研究和组织实施全县“三农”工作的中长期规划、重大政策。起草农业农村有关规范性文件,负责农业综合执法。参与涉农的财税、价格、收储、金融保险等政策制定</w:t>
      </w:r>
      <w:r>
        <w:rPr>
          <w:rFonts w:hint="eastAsia" w:ascii="仿宋_GB2312" w:eastAsia="仿宋_GB2312"/>
          <w:bCs/>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统筹推动发展全县农村社会事业、农村公共服务、农村文化、农村基础设施和乡村治理。组织实施“千村示范、万村整治”工程,牵头组织改善农村人居环境。指导农村精神文明和优秀农耕文化建设。</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eastAsia="zh-CN"/>
        </w:rPr>
        <w:t>拟订深化农村经济体制改革和巩固完善农村基本经菅制度的政策及配套措施。负责农民承包地、农村宅基地改革和管理有关工作。负责农村集体产权制度改革,指导农村集体经济组织发展和集体资产管理工作。指导农民合作经济组织、农业社会化服务体系、新型农业经营主体建设与发展。</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负责高效生态农业产业体系建设。指导乡村特色产业、农产品加工业、休闲农业和农家乐民宿发展工作。提出促进大宗农产品流通的建议,培育、保护农业品牌,指导农产品营销管理工作和农业国际国内展示展销活动。发布农业农村经济信息,监测分析农业农村经济运行。承担农业统计和农业农村信息化有关工作。</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负责种植业、畜牧业、渔业、农业机械化等农业各产业的监督管理。指导粮食等农产品生产。组织构建现代农业产业体系、生产体系、经营体系,指导农业标准化生产。负责渔政监督管理。负责农业机械、农药使用和渔业安全生产监督管理,指导农家乐安全管理工作,指导休闲观光农业安全管理工作,指导农业行业安全生产工作。落实农业农村领域生态环境保护要求,配合做好农业生态环境污染的调查处理工作。</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eastAsia="zh-CN"/>
        </w:rPr>
        <w:t>负责农产品质量安全监督管理。组织开展农产品质量安全监测、追溯。参与制定农产品质量安全地方标准并会同有关部门组织实施。指导农业检验检测体系建设。指导划定农产品禁止生产区域。</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 xml:space="preserve">负责农业资源管理。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 </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负责有关农业生产资料和农业投入品的监督管理。组织农业生产资料市场体系建设,拟订有关农业生产资料地方标准并监督实施。依法开展农业行政许可及其监督管理。组织兽医医政、兽药药政药检工作,负责执业兽医和畜禽屠宰行业管理。开展兽医器械和有关肥料的监督管理。</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eastAsia="zh-CN"/>
        </w:rPr>
        <w:t>负责农业防灾减灾、农作物重大病虫害监测防治工作。指导动植物防疫检疫体系建设,组织、监督县内动植物防疫检疫工作,监测动植物疫情疫病,依法发布疫情并组织扑灭。</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eastAsia="zh-CN"/>
        </w:rPr>
        <w:t>负责农业投资管理。提出农业投融资体制机制改革、农业投资项目建设规划、农业投资规模和方向、扶持农业农村发展财政项目的建议。按权限审批农业投资项目、负责农业投资项目资金安排和监督管理。</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推动农业科技体制改革和农业技术推广队伍体系建设。指导农业产业技术体系和农技推广体系建设,组织开展农业领域应用技术研究、科技成果转化和技术推广。负责、农业转基因生物安全监督管理和农业植物新品种保护,按分工负责农业野生植物保护工作。</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指导农业农村人才工作。拟订农业农村人才队伍建设规划并组织实施,指导农业教育和农业职业技能开发,组织新型职业农民培育、农业科技人才培养和农村实用人才培训工作。</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组织开展农业对外合作工作。承办有关农业农村涉外事务,组织开展农业贸易促进和有关国际交流合作,参与有关农业对外对口援助项目。</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拟订扶贫开发工作规划和政策并组织实施,协调督促扶贫开发工作。完成上级扶贫机构交办的有关工作，会同有关部门衔接重点帮扶工作。</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eastAsia="zh-CN"/>
        </w:rPr>
        <w:t>完成县委、县政府交办的其他任务。</w:t>
      </w:r>
    </w:p>
    <w:p>
      <w:pPr>
        <w:keepNext w:val="0"/>
        <w:keepLines w:val="0"/>
        <w:pageBreakBefore w:val="0"/>
        <w:kinsoku/>
        <w:wordWrap/>
        <w:overflowPunct/>
        <w:topLinePunct w:val="0"/>
        <w:autoSpaceDE/>
        <w:autoSpaceDN/>
        <w:bidi w:val="0"/>
        <w:adjustRightInd/>
        <w:snapToGrid w:val="0"/>
        <w:spacing w:line="54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（二）部门预算单位构成</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农业农村局（本级）</w:t>
      </w:r>
      <w:r>
        <w:rPr>
          <w:rFonts w:hint="eastAsia" w:ascii="仿宋_GB2312" w:eastAsia="仿宋_GB2312"/>
          <w:bCs/>
          <w:sz w:val="32"/>
          <w:szCs w:val="32"/>
          <w:highlight w:val="none"/>
        </w:rPr>
        <w:t>部门预算包括：</w:t>
      </w:r>
      <w:r>
        <w:rPr>
          <w:rFonts w:hint="eastAsia" w:ascii="仿宋_GB2312" w:eastAsia="仿宋_GB2312"/>
          <w:bCs/>
          <w:sz w:val="32"/>
          <w:szCs w:val="32"/>
          <w:highlight w:val="none"/>
          <w:lang w:eastAsia="zh-CN"/>
        </w:rPr>
        <w:t>局</w:t>
      </w:r>
      <w:r>
        <w:rPr>
          <w:rFonts w:hint="eastAsia" w:ascii="仿宋_GB2312" w:eastAsia="仿宋_GB2312"/>
          <w:bCs/>
          <w:sz w:val="32"/>
          <w:szCs w:val="32"/>
          <w:highlight w:val="none"/>
        </w:rPr>
        <w:t>本级预算。</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二、农业农村局（本级）</w:t>
      </w:r>
      <w:r>
        <w:rPr>
          <w:rStyle w:val="8"/>
          <w:rFonts w:hint="eastAsia" w:ascii="黑体" w:eastAsia="黑体"/>
          <w:b w:val="0"/>
          <w:color w:val="000000"/>
          <w:sz w:val="32"/>
          <w:szCs w:val="32"/>
          <w:highlight w:val="none"/>
          <w:lang w:val="en-US" w:eastAsia="zh-CN"/>
        </w:rPr>
        <w:t>2021</w:t>
      </w:r>
      <w:r>
        <w:rPr>
          <w:rStyle w:val="8"/>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b w:val="0"/>
          <w:bCs w:val="0"/>
          <w:color w:val="000000"/>
          <w:sz w:val="30"/>
          <w:szCs w:val="30"/>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农业农村局（本级）</w:t>
      </w:r>
      <w:r>
        <w:rPr>
          <w:rStyle w:val="8"/>
          <w:rFonts w:hint="eastAsia" w:ascii="楷体_GB2312" w:hAnsi="楷体_GB2312" w:eastAsia="楷体_GB2312" w:cs="楷体_GB2312"/>
          <w:b w:val="0"/>
          <w:bCs w:val="0"/>
          <w:color w:val="000000"/>
          <w:sz w:val="32"/>
          <w:szCs w:val="32"/>
          <w:highlight w:val="none"/>
          <w:lang w:val="en-US" w:eastAsia="zh-CN"/>
        </w:rPr>
        <w:t>2021</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农业农村局（本级）所有收入和支出均纳入部门预算管理。收入包括：一般公共预算拨款收入、政府性基金预算收入、上级补助收入；支出包括：</w:t>
      </w:r>
      <w:r>
        <w:rPr>
          <w:rFonts w:hint="eastAsia" w:ascii="仿宋_GB2312" w:hAnsi="Times New Roman" w:eastAsia="仿宋_GB2312" w:cs="仿宋_GB2312"/>
          <w:color w:val="000000"/>
          <w:sz w:val="32"/>
          <w:szCs w:val="32"/>
          <w:lang w:eastAsia="zh-CN"/>
        </w:rPr>
        <w:t>农林水支出、</w:t>
      </w:r>
      <w:r>
        <w:rPr>
          <w:rFonts w:hint="eastAsia" w:ascii="仿宋_GB2312" w:hAnsi="Times New Roman" w:eastAsia="仿宋_GB2312" w:cs="仿宋_GB2312"/>
          <w:color w:val="000000"/>
          <w:sz w:val="32"/>
          <w:szCs w:val="32"/>
        </w:rPr>
        <w:t>社会保障和就业支出</w:t>
      </w:r>
      <w:r>
        <w:rPr>
          <w:rFonts w:hint="eastAsia" w:ascii="仿宋_GB2312" w:hAnsi="Times New Roman" w:eastAsia="仿宋_GB2312" w:cs="仿宋_GB2312"/>
          <w:color w:val="000000"/>
          <w:sz w:val="32"/>
          <w:szCs w:val="32"/>
          <w:lang w:eastAsia="zh-CN"/>
        </w:rPr>
        <w:t>、卫生健康支出、住房保障支出</w:t>
      </w:r>
      <w:r>
        <w:rPr>
          <w:rFonts w:hint="eastAsia" w:ascii="仿宋_GB2312" w:eastAsia="仿宋_GB2312" w:cs="仿宋_GB2312"/>
          <w:color w:val="000000"/>
          <w:sz w:val="32"/>
          <w:szCs w:val="32"/>
          <w:lang w:eastAsia="zh-CN"/>
        </w:rPr>
        <w:t>、</w:t>
      </w:r>
      <w:r>
        <w:rPr>
          <w:rFonts w:hint="eastAsia" w:ascii="仿宋_GB2312" w:eastAsia="仿宋_GB2312"/>
          <w:color w:val="000000"/>
          <w:sz w:val="32"/>
          <w:szCs w:val="32"/>
          <w:highlight w:val="none"/>
          <w:lang w:eastAsia="zh-CN"/>
        </w:rPr>
        <w:t>其他支出。农业农村局（本级）</w:t>
      </w:r>
      <w:r>
        <w:rPr>
          <w:rFonts w:hint="eastAsia" w:ascii="仿宋_GB2312" w:eastAsia="仿宋_GB2312"/>
          <w:color w:val="000000"/>
          <w:sz w:val="32"/>
          <w:szCs w:val="32"/>
          <w:highlight w:val="none"/>
          <w:lang w:val="en-US" w:eastAsia="zh-CN"/>
        </w:rPr>
        <w:t>2021年收支总预算15235.18万元。</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关于农业农村局（本级）</w:t>
      </w:r>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农业农村局（本级）</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15235.18</w:t>
      </w:r>
      <w:r>
        <w:rPr>
          <w:rFonts w:hint="eastAsia" w:ascii="仿宋_GB2312" w:eastAsia="仿宋_GB2312"/>
          <w:color w:val="000000"/>
          <w:sz w:val="32"/>
          <w:szCs w:val="32"/>
          <w:highlight w:val="none"/>
        </w:rPr>
        <w:t>万元，其中：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6695.42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43.95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683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7856.76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51.57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关于农业农村局（本级）</w:t>
      </w:r>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仿宋_GB2312" w:eastAsia="仿宋_GB2312"/>
          <w:b w:val="0"/>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农业农村局（本级）</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15235.18</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val="0"/>
        <w:spacing w:line="54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s="仿宋_GB2312"/>
          <w:color w:val="000000"/>
          <w:sz w:val="32"/>
          <w:szCs w:val="32"/>
        </w:rPr>
        <w:t>包括</w:t>
      </w:r>
      <w:r>
        <w:rPr>
          <w:rFonts w:hint="eastAsia" w:ascii="仿宋_GB2312" w:hAnsi="Times New Roman" w:eastAsia="仿宋_GB2312" w:cs="Times New Roman"/>
          <w:color w:val="000000"/>
          <w:sz w:val="32"/>
          <w:szCs w:val="32"/>
          <w:lang w:eastAsia="zh-CN"/>
        </w:rPr>
        <w:t>农林水支出</w:t>
      </w:r>
      <w:r>
        <w:rPr>
          <w:rFonts w:hint="eastAsia" w:ascii="仿宋_GB2312" w:eastAsia="仿宋_GB2312" w:cs="Times New Roman"/>
          <w:color w:val="000000"/>
          <w:sz w:val="32"/>
          <w:szCs w:val="32"/>
          <w:lang w:val="en-US" w:eastAsia="zh-CN"/>
        </w:rPr>
        <w:t>13866.96</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lang w:eastAsia="zh-CN"/>
        </w:rPr>
        <w:t>，社会保障和就业支出</w:t>
      </w:r>
      <w:r>
        <w:rPr>
          <w:rFonts w:hint="eastAsia" w:ascii="仿宋_GB2312" w:eastAsia="仿宋_GB2312" w:cs="Times New Roman"/>
          <w:color w:val="000000"/>
          <w:sz w:val="32"/>
          <w:szCs w:val="32"/>
          <w:lang w:val="en-US" w:eastAsia="zh-CN"/>
        </w:rPr>
        <w:t>451.02</w:t>
      </w:r>
      <w:r>
        <w:rPr>
          <w:rFonts w:hint="eastAsia" w:ascii="仿宋_GB2312" w:hAnsi="Times New Roman" w:eastAsia="仿宋_GB2312" w:cs="Times New Roman"/>
          <w:color w:val="000000"/>
          <w:sz w:val="32"/>
          <w:szCs w:val="32"/>
          <w:lang w:val="en-US" w:eastAsia="zh-CN"/>
        </w:rPr>
        <w:t>万元，卫生健康支出</w:t>
      </w:r>
      <w:r>
        <w:rPr>
          <w:rFonts w:hint="eastAsia" w:ascii="仿宋_GB2312" w:eastAsia="仿宋_GB2312" w:cs="Times New Roman"/>
          <w:color w:val="000000"/>
          <w:sz w:val="32"/>
          <w:szCs w:val="32"/>
          <w:lang w:val="en-US" w:eastAsia="zh-CN"/>
        </w:rPr>
        <w:t>39.55</w:t>
      </w:r>
      <w:r>
        <w:rPr>
          <w:rFonts w:hint="eastAsia" w:ascii="仿宋_GB2312" w:hAnsi="Times New Roman" w:eastAsia="仿宋_GB2312" w:cs="Times New Roman"/>
          <w:color w:val="000000"/>
          <w:sz w:val="32"/>
          <w:szCs w:val="32"/>
          <w:lang w:val="en-US" w:eastAsia="zh-CN"/>
        </w:rPr>
        <w:t>万元，</w:t>
      </w:r>
      <w:r>
        <w:rPr>
          <w:rFonts w:hint="eastAsia" w:ascii="仿宋_GB2312" w:hAnsi="Times New Roman" w:eastAsia="仿宋_GB2312" w:cs="Times New Roman"/>
          <w:color w:val="000000"/>
          <w:sz w:val="32"/>
          <w:szCs w:val="32"/>
          <w:lang w:eastAsia="zh-CN"/>
        </w:rPr>
        <w:t>住房保障支出</w:t>
      </w:r>
      <w:r>
        <w:rPr>
          <w:rFonts w:hint="eastAsia" w:ascii="仿宋_GB2312" w:eastAsia="仿宋_GB2312" w:cs="Times New Roman"/>
          <w:color w:val="000000"/>
          <w:sz w:val="32"/>
          <w:szCs w:val="32"/>
          <w:lang w:val="en-US" w:eastAsia="zh-CN"/>
        </w:rPr>
        <w:t>194.64</w:t>
      </w:r>
      <w:r>
        <w:rPr>
          <w:rFonts w:hint="eastAsia" w:ascii="仿宋_GB2312" w:hAnsi="Times New Roman" w:eastAsia="仿宋_GB2312" w:cs="Times New Roman"/>
          <w:color w:val="000000"/>
          <w:sz w:val="32"/>
          <w:szCs w:val="32"/>
        </w:rPr>
        <w:t>万元</w:t>
      </w:r>
      <w:r>
        <w:rPr>
          <w:rFonts w:hint="eastAsia" w:ascii="仿宋_GB2312" w:eastAsia="仿宋_GB2312" w:cs="Times New Roman"/>
          <w:color w:val="000000"/>
          <w:sz w:val="32"/>
          <w:szCs w:val="32"/>
          <w:lang w:eastAsia="zh-CN"/>
        </w:rPr>
        <w:t>，其他支出</w:t>
      </w:r>
      <w:r>
        <w:rPr>
          <w:rFonts w:hint="eastAsia" w:ascii="仿宋_GB2312" w:eastAsia="仿宋_GB2312" w:cs="Times New Roman"/>
          <w:color w:val="000000"/>
          <w:sz w:val="32"/>
          <w:szCs w:val="32"/>
          <w:lang w:val="en-US" w:eastAsia="zh-CN"/>
        </w:rPr>
        <w:t>683万元</w:t>
      </w:r>
      <w:r>
        <w:rPr>
          <w:rFonts w:hint="eastAsia" w:ascii="仿宋_GB2312" w:hAnsi="Times New Roman" w:eastAsia="仿宋_GB2312" w:cs="Times New Roman"/>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2489.46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16.34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241.77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1.59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12503.94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82.07</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关于农业农村局（本级）</w:t>
      </w:r>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val="0"/>
        <w:spacing w:line="54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农业农村局（本级）</w:t>
      </w:r>
      <w:r>
        <w:rPr>
          <w:rFonts w:hint="eastAsia" w:ascii="仿宋_GB2312" w:eastAsia="仿宋_GB2312"/>
          <w:color w:val="000000"/>
          <w:sz w:val="32"/>
          <w:szCs w:val="32"/>
          <w:highlight w:val="none"/>
          <w:lang w:val="en-US" w:eastAsia="zh-CN"/>
        </w:rPr>
        <w:t>2021年财政拨款收支总预算7378.42万元。收入包括：一般公共预算6695.42万元、政府性基金683万元；支出包括：</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6010.21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194.64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683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社会保障和就业支出</w:t>
      </w:r>
      <w:r>
        <w:rPr>
          <w:rFonts w:hint="eastAsia" w:ascii="仿宋_GB2312" w:eastAsia="仿宋_GB2312"/>
          <w:color w:val="000000"/>
          <w:sz w:val="32"/>
          <w:szCs w:val="32"/>
          <w:highlight w:val="none"/>
          <w:lang w:val="en-US" w:eastAsia="zh-CN"/>
        </w:rPr>
        <w:t>451.02万元、</w:t>
      </w:r>
      <w:r>
        <w:rPr>
          <w:rFonts w:hint="eastAsia" w:ascii="仿宋_GB2312" w:hAnsi="Times New Roman" w:eastAsia="仿宋_GB2312" w:cs="Times New Roman"/>
          <w:color w:val="000000"/>
          <w:sz w:val="32"/>
          <w:szCs w:val="32"/>
          <w:lang w:val="en-US" w:eastAsia="zh-CN"/>
        </w:rPr>
        <w:t>卫生健康支出</w:t>
      </w:r>
      <w:r>
        <w:rPr>
          <w:rFonts w:hint="eastAsia" w:ascii="仿宋_GB2312" w:eastAsia="仿宋_GB2312" w:cs="Times New Roman"/>
          <w:color w:val="000000"/>
          <w:sz w:val="32"/>
          <w:szCs w:val="32"/>
          <w:lang w:val="en-US" w:eastAsia="zh-CN"/>
        </w:rPr>
        <w:t>39.55</w:t>
      </w:r>
      <w:r>
        <w:rPr>
          <w:rFonts w:hint="eastAsia" w:ascii="仿宋_GB2312" w:hAnsi="Times New Roman" w:eastAsia="仿宋_GB2312" w:cs="Times New Roman"/>
          <w:color w:val="000000"/>
          <w:sz w:val="32"/>
          <w:szCs w:val="32"/>
          <w:lang w:val="en-US" w:eastAsia="zh-CN"/>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val="0"/>
        <w:spacing w:line="54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关于农业农村局（本级）</w:t>
      </w:r>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农业农村局（本级）</w:t>
      </w:r>
      <w:r>
        <w:rPr>
          <w:rFonts w:hint="eastAsia" w:ascii="仿宋_GB2312" w:eastAsia="仿宋_GB2312"/>
          <w:color w:val="auto"/>
          <w:sz w:val="32"/>
          <w:szCs w:val="32"/>
          <w:highlight w:val="none"/>
          <w:lang w:val="en-US" w:eastAsia="zh-CN"/>
        </w:rPr>
        <w:t>2021年一般公共预算当年拨款6695.42万元，比2020年执行数减少171.21万元，主要是合理控制预算，科学编制项目。</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451.02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6.784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；卫生健康（类）支出</w:t>
      </w:r>
      <w:r>
        <w:rPr>
          <w:rFonts w:hint="eastAsia" w:ascii="仿宋_GB2312" w:eastAsia="仿宋_GB2312"/>
          <w:color w:val="000000"/>
          <w:sz w:val="32"/>
          <w:szCs w:val="32"/>
          <w:highlight w:val="none"/>
          <w:lang w:val="en-US" w:eastAsia="zh-CN"/>
        </w:rPr>
        <w:t>39.55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0.59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；农林水（类）支出</w:t>
      </w:r>
      <w:r>
        <w:rPr>
          <w:rFonts w:hint="eastAsia" w:ascii="仿宋_GB2312" w:eastAsia="仿宋_GB2312"/>
          <w:color w:val="000000"/>
          <w:sz w:val="32"/>
          <w:szCs w:val="32"/>
          <w:highlight w:val="none"/>
          <w:lang w:val="en-US" w:eastAsia="zh-CN"/>
        </w:rPr>
        <w:t>6010.21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89.77</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；住房保障（类）支出</w:t>
      </w:r>
      <w:r>
        <w:rPr>
          <w:rFonts w:hint="eastAsia" w:ascii="仿宋_GB2312" w:eastAsia="仿宋_GB2312"/>
          <w:color w:val="auto"/>
          <w:sz w:val="32"/>
          <w:szCs w:val="32"/>
          <w:highlight w:val="none"/>
          <w:lang w:val="en-US" w:eastAsia="zh-CN"/>
        </w:rPr>
        <w:t>194.64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2.91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right="0" w:rightChars="0" w:firstLine="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行政运行</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644.04</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单位人员基本支出</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一般行政管理事务</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131.62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日常经费支出</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事业运行</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1362.52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单位人员基本支出。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科技转化与推广服务</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114.42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基层科技推广等项目支出</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病虫害控制</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植物疫情控制</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农产品质量安全</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44</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农产品质量安全检测与监管</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行业业务管理</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75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农业农村规划编制、评审评估、监督检查等业务管理工作</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防灾救灾</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4.1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种子储备</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农业生产发展</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1611.73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茶产业、特色产业发展。</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农村合作经济</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71.7</w:t>
      </w:r>
      <w:r>
        <w:rPr>
          <w:rFonts w:hint="eastAsia" w:ascii="仿宋_GB2312" w:eastAsia="仿宋_GB2312"/>
          <w:color w:val="auto"/>
          <w:sz w:val="32"/>
          <w:szCs w:val="32"/>
          <w:highlight w:val="none"/>
        </w:rPr>
        <w:t>万元，主要用于土地确权</w:t>
      </w:r>
      <w:r>
        <w:rPr>
          <w:rFonts w:hint="eastAsia" w:ascii="仿宋_GB2312" w:eastAsia="仿宋_GB2312"/>
          <w:color w:val="auto"/>
          <w:sz w:val="32"/>
          <w:szCs w:val="32"/>
          <w:highlight w:val="none"/>
          <w:lang w:eastAsia="zh-CN"/>
        </w:rPr>
        <w:t>、土地流转经营权颁证奖励。</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（类）农业</w:t>
      </w:r>
      <w:r>
        <w:rPr>
          <w:rFonts w:hint="eastAsia" w:ascii="仿宋_GB2312" w:eastAsia="仿宋_GB2312"/>
          <w:color w:val="auto"/>
          <w:sz w:val="32"/>
          <w:szCs w:val="32"/>
          <w:highlight w:val="none"/>
          <w:lang w:eastAsia="zh-CN"/>
        </w:rPr>
        <w:t>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农村社会事业</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236.69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农村社会事业发展</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农业农村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农业资源保护辅修与利用</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183万元，主要用于</w:t>
      </w:r>
      <w:r>
        <w:rPr>
          <w:rFonts w:hint="eastAsia" w:ascii="仿宋_GB2312" w:eastAsia="仿宋_GB2312"/>
          <w:color w:val="auto"/>
          <w:sz w:val="32"/>
          <w:szCs w:val="32"/>
          <w:highlight w:val="none"/>
          <w:lang w:eastAsia="zh-CN"/>
        </w:rPr>
        <w:t>耕地质量保护、土壤重金属污染修复、商品有机肥推广应用。</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农业农村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农田建设</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31.6万元，主要用于农田水利建设</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农业农村</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其他农业农村支出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1433.29万元，主要用于畲家民宿农家乐建设、畲乡小吃产业发展等其他农业农村方面的支出</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扶贫</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其他扶贫支出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55.5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扶贫项目支出</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行政单位离退休</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218.15</w:t>
      </w:r>
      <w:r>
        <w:rPr>
          <w:rFonts w:hint="eastAsia" w:ascii="仿宋_GB2312" w:eastAsia="仿宋_GB2312"/>
          <w:color w:val="auto"/>
          <w:sz w:val="32"/>
          <w:szCs w:val="32"/>
          <w:highlight w:val="none"/>
        </w:rPr>
        <w:t>万元，</w:t>
      </w:r>
      <w:r>
        <w:rPr>
          <w:rFonts w:hint="eastAsia" w:ascii="仿宋_GB2312" w:eastAsia="仿宋_GB2312"/>
          <w:color w:val="auto"/>
          <w:sz w:val="32"/>
          <w:szCs w:val="32"/>
        </w:rPr>
        <w:t>主要用于</w:t>
      </w:r>
      <w:r>
        <w:rPr>
          <w:rFonts w:hint="eastAsia" w:ascii="仿宋_GB2312" w:eastAsia="仿宋_GB2312"/>
          <w:color w:val="auto"/>
          <w:sz w:val="32"/>
          <w:szCs w:val="32"/>
          <w:lang w:eastAsia="zh-CN"/>
        </w:rPr>
        <w:t>行政单位离退休人员基本支出</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color w:val="auto"/>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事业单位离退休</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0.28</w:t>
      </w:r>
      <w:r>
        <w:rPr>
          <w:rFonts w:hint="eastAsia" w:ascii="仿宋_GB2312" w:eastAsia="仿宋_GB2312"/>
          <w:color w:val="auto"/>
          <w:sz w:val="32"/>
          <w:szCs w:val="32"/>
          <w:highlight w:val="none"/>
        </w:rPr>
        <w:t>万元，</w:t>
      </w:r>
      <w:r>
        <w:rPr>
          <w:rFonts w:hint="eastAsia" w:ascii="仿宋_GB2312" w:eastAsia="仿宋_GB2312"/>
          <w:color w:val="auto"/>
          <w:sz w:val="32"/>
          <w:szCs w:val="32"/>
        </w:rPr>
        <w:t>主要用于</w:t>
      </w:r>
      <w:r>
        <w:rPr>
          <w:rFonts w:hint="eastAsia" w:ascii="仿宋_GB2312" w:eastAsia="仿宋_GB2312"/>
          <w:color w:val="auto"/>
          <w:sz w:val="32"/>
          <w:szCs w:val="32"/>
          <w:lang w:eastAsia="zh-CN"/>
        </w:rPr>
        <w:t>事业单位离退休人员基本支出</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机关事业单位基本养老保险缴费支出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155.06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机关单位人员基本养老保险缴费。</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机关事业单位职业年金缴费支出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77.53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机关事业单位职业年金缴费。</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卫生健康支出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行政事业单位医疗</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行政单位医疗</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39.55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单位人员医疗支出。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color w:val="auto"/>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w:t>
      </w:r>
      <w:r>
        <w:rPr>
          <w:rFonts w:hint="eastAsia" w:ascii="仿宋_GB2312" w:eastAsia="仿宋_GB2312"/>
          <w:color w:val="auto"/>
          <w:sz w:val="32"/>
          <w:szCs w:val="32"/>
          <w:lang w:eastAsia="zh-CN"/>
        </w:rPr>
        <w:t>住房保障支出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194.64</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单位人员住房公积金支出。</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关于农业农村局（本级）</w:t>
      </w:r>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农业农村局（本级）</w:t>
      </w:r>
      <w:r>
        <w:rPr>
          <w:rFonts w:hint="eastAsia" w:ascii="仿宋_GB2312" w:eastAsia="仿宋_GB2312"/>
          <w:color w:val="000000"/>
          <w:sz w:val="32"/>
          <w:szCs w:val="32"/>
          <w:highlight w:val="none"/>
          <w:lang w:val="en-US" w:eastAsia="zh-CN"/>
        </w:rPr>
        <w:t>2020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2731.23万元，其中：</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2489.46</w:t>
      </w:r>
      <w:r>
        <w:rPr>
          <w:rFonts w:hint="eastAsia" w:ascii="仿宋_GB2312" w:eastAsia="仿宋_GB2312" w:cs="Times New Roman"/>
          <w:b w:val="0"/>
          <w:color w:val="000000"/>
          <w:sz w:val="32"/>
          <w:szCs w:val="32"/>
          <w:highlight w:val="none"/>
          <w:lang w:val="en-US" w:eastAsia="zh-CN"/>
        </w:rPr>
        <w:t>万元，主要包括：基本工资、津贴补贴、奖金、伙食补助费、绩效工资、机关事业单位基本养老保险缴费、职业年金缴费、城镇职工基本医疗保险缴费、其他社会保障缴费、住房公积金、其他工资福利支出、离休费、退休费、生活补助、医疗费补助、其他对个人和家庭的补助；</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241.77</w:t>
      </w:r>
      <w:r>
        <w:rPr>
          <w:rFonts w:hint="eastAsia" w:ascii="仿宋_GB2312" w:eastAsia="仿宋_GB2312" w:cs="Times New Roman"/>
          <w:b w:val="0"/>
          <w:color w:val="000000"/>
          <w:sz w:val="32"/>
          <w:szCs w:val="32"/>
          <w:highlight w:val="none"/>
          <w:lang w:val="en-US" w:eastAsia="zh-CN"/>
        </w:rPr>
        <w:t>万元，主要包括：</w:t>
      </w:r>
      <w:r>
        <w:rPr>
          <w:rFonts w:hint="eastAsia" w:ascii="仿宋_GB2312" w:eastAsia="仿宋_GB2312" w:cs="Times New Roman"/>
          <w:b w:val="0"/>
          <w:color w:val="auto"/>
          <w:sz w:val="32"/>
          <w:szCs w:val="32"/>
          <w:highlight w:val="none"/>
          <w:lang w:val="en-US" w:eastAsia="zh-CN"/>
        </w:rPr>
        <w:t>工会经费、福利费、公务用车运行维护费、其他交通费用、其他商品和服务支出。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Times New Roman" w:eastAsia="仿宋_GB2312" w:cs="Times New Roman"/>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（七）关于农业农村局（本级）</w:t>
      </w:r>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000000"/>
          <w:sz w:val="32"/>
          <w:szCs w:val="32"/>
          <w:highlight w:val="none"/>
          <w:lang w:eastAsia="zh-CN"/>
        </w:rPr>
        <w:t>农业农村局（本级）</w:t>
      </w:r>
      <w:r>
        <w:rPr>
          <w:rFonts w:hint="eastAsia" w:ascii="仿宋_GB2312" w:eastAsia="仿宋_GB2312"/>
          <w:color w:val="auto"/>
          <w:sz w:val="32"/>
          <w:szCs w:val="32"/>
          <w:highlight w:val="none"/>
          <w:lang w:val="en-US" w:eastAsia="zh-CN"/>
        </w:rPr>
        <w:t>2021年政府性基金预算当年拨款683万元，比2020年执行数增加477.98万元，主要是增加美丽乡村建设项目。</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2.政府性基金预算当年拨款结构情况。</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其他支出（类）支出683万元，占100%。</w:t>
      </w:r>
    </w:p>
    <w:p>
      <w:pPr>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3.政府性基金预算当年拨款具体使用情况。</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rPr>
        <w:t>（类）其他政府性基金及对应专项债务收入安排的支出（款）其他政府性基金安排的支出（项）</w:t>
      </w:r>
      <w:r>
        <w:rPr>
          <w:rFonts w:hint="eastAsia" w:ascii="仿宋_GB2312" w:eastAsia="仿宋_GB2312"/>
          <w:color w:val="000000"/>
          <w:sz w:val="32"/>
          <w:szCs w:val="32"/>
          <w:highlight w:val="none"/>
          <w:lang w:val="en-US" w:eastAsia="zh-CN"/>
        </w:rPr>
        <w:t>683</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农田及美丽乡村建设</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（八）关于农业农村局（本级）</w:t>
      </w:r>
      <w:r>
        <w:rPr>
          <w:rFonts w:hint="eastAsia" w:ascii="楷体_GB2312" w:hAnsi="楷体_GB2312" w:eastAsia="楷体_GB2312" w:cs="楷体_GB2312"/>
          <w:b w:val="0"/>
          <w:bCs/>
          <w:color w:val="000000"/>
          <w:sz w:val="32"/>
          <w:szCs w:val="32"/>
          <w:highlight w:val="none"/>
          <w:lang w:val="en-US" w:eastAsia="zh-CN"/>
        </w:rPr>
        <w:t>2020</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auto"/>
          <w:sz w:val="32"/>
          <w:szCs w:val="32"/>
          <w:highlight w:val="none"/>
          <w:lang w:eastAsia="zh-CN"/>
        </w:rPr>
        <w:t>农业农村局（本级）</w:t>
      </w:r>
      <w:r>
        <w:rPr>
          <w:rFonts w:hint="eastAsia" w:ascii="仿宋_GB2312" w:hAnsi="仿宋_GB2312" w:eastAsia="仿宋_GB2312"/>
          <w:color w:val="auto"/>
          <w:sz w:val="32"/>
          <w:highlight w:val="none"/>
          <w:lang w:val="en-US" w:eastAsia="zh-CN"/>
        </w:rPr>
        <w:t>2021</w:t>
      </w:r>
      <w:r>
        <w:rPr>
          <w:rFonts w:hint="eastAsia" w:ascii="仿宋_GB2312" w:hAnsi="仿宋_GB2312" w:eastAsia="仿宋_GB2312"/>
          <w:color w:val="auto"/>
          <w:sz w:val="32"/>
          <w:highlight w:val="none"/>
        </w:rPr>
        <w:t>年“三公”经费预算数为</w:t>
      </w:r>
      <w:r>
        <w:rPr>
          <w:rFonts w:hint="eastAsia" w:ascii="仿宋_GB2312" w:eastAsia="仿宋_GB2312"/>
          <w:color w:val="auto"/>
          <w:sz w:val="32"/>
          <w:szCs w:val="32"/>
          <w:highlight w:val="none"/>
          <w:lang w:val="en-US" w:eastAsia="zh-CN"/>
        </w:rPr>
        <w:t>11.88</w:t>
      </w:r>
      <w:r>
        <w:rPr>
          <w:rFonts w:hint="eastAsia" w:ascii="仿宋_GB2312" w:hAnsi="仿宋_GB2312" w:eastAsia="仿宋_GB2312"/>
          <w:color w:val="auto"/>
          <w:sz w:val="32"/>
          <w:highlight w:val="none"/>
        </w:rPr>
        <w:t>万元</w:t>
      </w:r>
      <w:r>
        <w:rPr>
          <w:rFonts w:hint="eastAsia" w:ascii="仿宋_GB2312" w:hAnsi="仿宋_GB2312" w:eastAsia="仿宋_GB2312"/>
          <w:color w:val="auto"/>
          <w:sz w:val="32"/>
          <w:highlight w:val="none"/>
          <w:lang w:eastAsia="zh-CN"/>
        </w:rPr>
        <w:t>，</w:t>
      </w:r>
      <w:r>
        <w:rPr>
          <w:rFonts w:hint="eastAsia" w:ascii="仿宋_GB2312" w:hAnsi="仿宋_GB2312" w:eastAsia="仿宋_GB2312" w:cs="Times New Roman"/>
          <w:color w:val="auto"/>
          <w:kern w:val="2"/>
          <w:sz w:val="32"/>
          <w:szCs w:val="20"/>
          <w:highlight w:val="none"/>
          <w:shd w:val="clear" w:color="auto" w:fill="FFFFFF"/>
          <w:lang w:val="en-US" w:eastAsia="zh-CN" w:bidi="ar"/>
        </w:rPr>
        <w:t>比2020年执行数减少1.34万元，减少10.14%</w:t>
      </w:r>
      <w:r>
        <w:rPr>
          <w:rFonts w:hint="eastAsia" w:ascii="仿宋_GB2312" w:hAnsi="仿宋_GB2312" w:eastAsia="仿宋_GB2312" w:cs="Times New Roman"/>
          <w:color w:val="auto"/>
          <w:sz w:val="32"/>
          <w:szCs w:val="20"/>
          <w:highlight w:val="none"/>
          <w:lang w:eastAsia="zh-CN"/>
        </w:rPr>
        <w:t>，</w:t>
      </w:r>
      <w:r>
        <w:rPr>
          <w:rFonts w:hint="eastAsia" w:ascii="仿宋_GB2312" w:hAnsi="仿宋_GB2312" w:eastAsia="仿宋_GB2312"/>
          <w:color w:val="auto"/>
          <w:sz w:val="32"/>
          <w:highlight w:val="none"/>
          <w:lang w:eastAsia="zh-CN"/>
        </w:rPr>
        <w:t>具体如下：</w:t>
      </w:r>
    </w:p>
    <w:p>
      <w:pPr>
        <w:spacing w:line="640" w:lineRule="exact"/>
        <w:ind w:firstLine="642"/>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1.因公出国（境）</w:t>
      </w:r>
      <w:r>
        <w:rPr>
          <w:rFonts w:hint="eastAsia" w:ascii="仿宋_GB2312" w:hAnsi="仿宋_GB2312" w:eastAsia="仿宋_GB2312" w:cs="仿宋_GB2312"/>
          <w:b/>
          <w:bCs/>
          <w:color w:val="auto"/>
          <w:kern w:val="0"/>
          <w:sz w:val="32"/>
          <w:szCs w:val="32"/>
          <w:highlight w:val="none"/>
          <w:lang w:eastAsia="zh-CN"/>
        </w:rPr>
        <w:t>费用</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县外事办</w:t>
      </w:r>
      <w:r>
        <w:rPr>
          <w:rFonts w:hint="eastAsia" w:ascii="仿宋_GB2312" w:hAnsi="仿宋_GB2312" w:eastAsia="仿宋_GB2312" w:cs="仿宋_GB2312"/>
          <w:color w:val="auto"/>
          <w:sz w:val="32"/>
          <w:szCs w:val="32"/>
          <w:highlight w:val="none"/>
        </w:rPr>
        <w:t>安排的因公出国计划和实际工作需要，</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年安排因公出国（境）费</w:t>
      </w:r>
      <w:r>
        <w:rPr>
          <w:rFonts w:hint="eastAsia" w:ascii="仿宋_GB2312" w:hAnsi="仿宋_GB2312" w:eastAsia="仿宋_GB2312" w:cs="仿宋_GB2312"/>
          <w:color w:val="auto"/>
          <w:sz w:val="32"/>
          <w:szCs w:val="32"/>
          <w:highlight w:val="none"/>
          <w:lang w:eastAsia="zh-CN"/>
        </w:rPr>
        <w:t>用预算</w:t>
      </w:r>
      <w:r>
        <w:rPr>
          <w:rFonts w:hint="eastAsia" w:ascii="仿宋_GB2312" w:eastAsia="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与上年持平</w:t>
      </w:r>
      <w:r>
        <w:rPr>
          <w:rFonts w:hint="eastAsia" w:ascii="仿宋_GB2312" w:hAnsi="仿宋_GB2312" w:eastAsia="仿宋_GB2312" w:cs="仿宋_GB2312"/>
          <w:color w:val="auto"/>
          <w:sz w:val="32"/>
          <w:szCs w:val="32"/>
          <w:highlight w:val="none"/>
        </w:rPr>
        <w:t>。主要</w:t>
      </w:r>
      <w:r>
        <w:rPr>
          <w:rFonts w:hint="eastAsia" w:ascii="仿宋_GB2312" w:hAnsi="仿宋_GB2312" w:eastAsia="仿宋_GB2312" w:cs="仿宋_GB2312"/>
          <w:color w:val="auto"/>
          <w:sz w:val="32"/>
          <w:szCs w:val="32"/>
        </w:rPr>
        <w:t>用于机关及下属预算单位人员的公务出国（境）的国际旅费、国外城市间交通费、住宿费、伙食</w:t>
      </w:r>
      <w:r>
        <w:rPr>
          <w:rFonts w:hint="eastAsia" w:ascii="仿宋_GB2312" w:hAnsi="仿宋_GB2312" w:eastAsia="仿宋_GB2312" w:cs="仿宋_GB2312"/>
          <w:color w:val="auto"/>
          <w:sz w:val="32"/>
          <w:szCs w:val="32"/>
          <w:lang w:val="en-US" w:eastAsia="zh-CN"/>
        </w:rPr>
        <w:t>费、培训费、公杂费等支出。持平的主要原因是按照要求不安排公务出国（境）费用</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val="0"/>
        <w:spacing w:line="540" w:lineRule="exact"/>
        <w:ind w:right="0" w:rightChars="0" w:firstLine="0" w:firstLineChars="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2.公务接待费：</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年安排公务接待费预算</w:t>
      </w:r>
      <w:r>
        <w:rPr>
          <w:rFonts w:hint="eastAsia" w:ascii="仿宋_GB2312" w:eastAsia="仿宋_GB2312"/>
          <w:color w:val="auto"/>
          <w:sz w:val="32"/>
          <w:szCs w:val="32"/>
          <w:highlight w:val="none"/>
          <w:lang w:val="en-US" w:eastAsia="zh-CN"/>
        </w:rPr>
        <w:t>7.88</w:t>
      </w:r>
      <w:r>
        <w:rPr>
          <w:rFonts w:hint="eastAsia" w:ascii="仿宋_GB2312" w:hAnsi="仿宋_GB2312" w:eastAsia="仿宋_GB2312" w:cs="仿宋_GB2312"/>
          <w:color w:val="auto"/>
          <w:sz w:val="32"/>
          <w:szCs w:val="32"/>
          <w:highlight w:val="none"/>
        </w:rPr>
        <w:t>万元，比上年</w:t>
      </w:r>
      <w:r>
        <w:rPr>
          <w:rFonts w:hint="eastAsia" w:ascii="仿宋_GB2312" w:hAnsi="仿宋_GB2312" w:eastAsia="仿宋_GB2312" w:cs="仿宋_GB2312"/>
          <w:color w:val="auto"/>
          <w:sz w:val="32"/>
          <w:szCs w:val="32"/>
          <w:highlight w:val="none"/>
          <w:lang w:eastAsia="zh-CN"/>
        </w:rPr>
        <w:t>执行数减少</w:t>
      </w:r>
      <w:r>
        <w:rPr>
          <w:rFonts w:hint="eastAsia" w:ascii="仿宋_GB2312" w:hAnsi="仿宋_GB2312" w:eastAsia="仿宋_GB2312" w:cs="仿宋_GB2312"/>
          <w:color w:val="auto"/>
          <w:sz w:val="32"/>
          <w:szCs w:val="32"/>
          <w:highlight w:val="none"/>
          <w:lang w:val="en-US" w:eastAsia="zh-CN"/>
        </w:rPr>
        <w:t>10.15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w:t>
      </w:r>
      <w:r>
        <w:rPr>
          <w:rFonts w:hint="eastAsia" w:ascii="仿宋_GB2312" w:hAnsi="仿宋_GB2312" w:eastAsia="仿宋_GB2312" w:cs="仿宋_GB2312"/>
          <w:color w:val="auto"/>
          <w:sz w:val="32"/>
          <w:szCs w:val="32"/>
          <w:highlight w:val="none"/>
          <w:lang w:eastAsia="zh-CN"/>
        </w:rPr>
        <w:t>用于</w:t>
      </w:r>
      <w:r>
        <w:rPr>
          <w:rFonts w:hint="eastAsia" w:ascii="仿宋_GB2312" w:hAnsi="仿宋_GB2312" w:eastAsia="仿宋_GB2312" w:cs="仿宋_GB2312"/>
          <w:color w:val="auto"/>
          <w:sz w:val="32"/>
          <w:szCs w:val="32"/>
        </w:rPr>
        <w:t>接待上级及兄弟县来景进行调研、乡镇（街道）党委、人民政府和农业系统来局活动等接待支出</w:t>
      </w:r>
      <w:r>
        <w:rPr>
          <w:rFonts w:hint="eastAsia" w:ascii="仿宋_GB2312" w:hAnsi="仿宋_GB2312" w:eastAsia="仿宋_GB2312" w:cs="仿宋_GB2312"/>
          <w:color w:val="auto"/>
          <w:sz w:val="32"/>
          <w:szCs w:val="32"/>
          <w:lang w:eastAsia="zh-CN"/>
        </w:rPr>
        <w:t>。减少的主要原因是根据接待活动合理压减</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b w:val="0"/>
          <w:bCs w:val="0"/>
          <w:color w:val="auto"/>
          <w:sz w:val="32"/>
          <w:szCs w:val="32"/>
          <w:highlight w:val="none"/>
          <w:lang w:eastAsia="zh-CN"/>
        </w:rPr>
        <w:t>。</w:t>
      </w:r>
    </w:p>
    <w:p>
      <w:pPr>
        <w:pStyle w:val="16"/>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outlineLvl w:val="9"/>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rPr>
        <w:t>3.公务用车购置及运行</w:t>
      </w:r>
      <w:r>
        <w:rPr>
          <w:rFonts w:hint="eastAsia" w:ascii="仿宋_GB2312" w:eastAsia="仿宋_GB2312"/>
          <w:b/>
          <w:bCs/>
          <w:color w:val="auto"/>
          <w:sz w:val="32"/>
          <w:szCs w:val="32"/>
          <w:highlight w:val="none"/>
          <w:lang w:eastAsia="zh-CN"/>
        </w:rPr>
        <w:t>维护</w:t>
      </w:r>
      <w:r>
        <w:rPr>
          <w:rFonts w:hint="eastAsia" w:ascii="仿宋_GB2312" w:eastAsia="仿宋_GB2312"/>
          <w:b/>
          <w:bCs/>
          <w:color w:val="auto"/>
          <w:sz w:val="32"/>
          <w:szCs w:val="32"/>
          <w:highlight w:val="none"/>
        </w:rPr>
        <w:t>费：</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年安排公务用车购置及运行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费预算</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万元，比上年</w:t>
      </w:r>
      <w:r>
        <w:rPr>
          <w:rFonts w:hint="eastAsia" w:ascii="仿宋_GB2312" w:eastAsia="仿宋_GB2312"/>
          <w:color w:val="auto"/>
          <w:sz w:val="32"/>
          <w:szCs w:val="32"/>
          <w:highlight w:val="none"/>
          <w:lang w:eastAsia="zh-CN"/>
        </w:rPr>
        <w:t>执行数减少</w:t>
      </w:r>
      <w:r>
        <w:rPr>
          <w:rFonts w:hint="eastAsia" w:ascii="仿宋_GB2312" w:eastAsia="仿宋_GB2312"/>
          <w:color w:val="auto"/>
          <w:sz w:val="32"/>
          <w:szCs w:val="32"/>
          <w:highlight w:val="none"/>
          <w:lang w:val="en-US" w:eastAsia="zh-CN"/>
        </w:rPr>
        <w:t>10.11</w:t>
      </w:r>
      <w:r>
        <w:rPr>
          <w:rFonts w:hint="eastAsia" w:ascii="仿宋_GB2312" w:eastAsia="仿宋_GB2312"/>
          <w:color w:val="auto"/>
          <w:sz w:val="32"/>
          <w:szCs w:val="32"/>
          <w:highlight w:val="none"/>
        </w:rPr>
        <w:t>%。其中，公务用车购置支出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万元（含购置税等附加费用），主要用于经批准购置的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辆公务用车；公务用车运行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费支出</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rPr>
        <w:t>，主要用于</w:t>
      </w:r>
      <w:r>
        <w:rPr>
          <w:rFonts w:hint="eastAsia" w:ascii="仿宋_GB2312" w:eastAsia="仿宋_GB2312"/>
          <w:color w:val="auto"/>
          <w:sz w:val="32"/>
          <w:szCs w:val="32"/>
        </w:rPr>
        <w:t>局机关及下属预算单位开展公务活动等所需的公务用车燃料费、维修费、过桥过路费、保险费等支出</w:t>
      </w:r>
      <w:r>
        <w:rPr>
          <w:rFonts w:hint="eastAsia" w:ascii="仿宋_GB2312" w:eastAsia="仿宋_GB2312"/>
          <w:color w:val="auto"/>
          <w:sz w:val="32"/>
          <w:szCs w:val="32"/>
          <w:highlight w:val="none"/>
        </w:rPr>
        <w:t>。</w:t>
      </w:r>
      <w:r>
        <w:rPr>
          <w:rFonts w:hint="eastAsia" w:ascii="仿宋_GB2312" w:eastAsia="仿宋_GB2312" w:cs="仿宋_GB2312"/>
          <w:color w:val="auto"/>
          <w:sz w:val="32"/>
          <w:szCs w:val="32"/>
        </w:rPr>
        <w:t>减少的主要原因是</w:t>
      </w:r>
      <w:r>
        <w:rPr>
          <w:rFonts w:hint="eastAsia" w:ascii="仿宋_GB2312" w:eastAsia="仿宋_GB2312" w:cs="仿宋_GB2312"/>
          <w:color w:val="auto"/>
          <w:sz w:val="32"/>
          <w:szCs w:val="32"/>
          <w:lang w:eastAsia="zh-CN"/>
        </w:rPr>
        <w:t>厉行勤俭节约，适当减少公务用车运行维护费</w:t>
      </w:r>
      <w:r>
        <w:rPr>
          <w:rFonts w:hint="eastAsia" w:asci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val="0"/>
        <w:spacing w:line="54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九</w:t>
      </w:r>
      <w:r>
        <w:rPr>
          <w:rFonts w:hint="eastAsia" w:ascii="楷体_GB2312" w:hAnsi="楷体_GB2312" w:eastAsia="楷体_GB2312" w:cs="楷体_GB2312"/>
          <w:b w:val="0"/>
          <w:bCs/>
          <w:sz w:val="32"/>
          <w:szCs w:val="32"/>
          <w:highlight w:val="none"/>
        </w:rPr>
        <w:t>）其他重要事项的情况说明</w:t>
      </w:r>
    </w:p>
    <w:p>
      <w:pPr>
        <w:pStyle w:val="16"/>
        <w:keepNext w:val="0"/>
        <w:keepLines w:val="0"/>
        <w:pageBreakBefore w:val="0"/>
        <w:kinsoku/>
        <w:wordWrap/>
        <w:overflowPunct/>
        <w:topLinePunct w:val="0"/>
        <w:autoSpaceDE/>
        <w:autoSpaceDN/>
        <w:bidi w:val="0"/>
        <w:adjustRightInd/>
        <w:snapToGrid w:val="0"/>
        <w:spacing w:line="54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6"/>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color w:val="FF0000"/>
          <w:sz w:val="32"/>
          <w:szCs w:val="32"/>
          <w:highlight w:val="none"/>
          <w:u w:val="none"/>
        </w:rPr>
      </w:pPr>
      <w:r>
        <w:rPr>
          <w:rFonts w:hint="eastAsia" w:ascii="仿宋_GB2312" w:eastAsia="仿宋_GB2312"/>
          <w:sz w:val="32"/>
          <w:szCs w:val="32"/>
          <w:highlight w:val="none"/>
          <w:u w:val="none"/>
          <w:lang w:val="en-US" w:eastAsia="zh-CN"/>
        </w:rPr>
        <w:t>2021年</w:t>
      </w:r>
      <w:r>
        <w:rPr>
          <w:rFonts w:hint="eastAsia" w:ascii="仿宋_GB2312" w:eastAsia="仿宋_GB2312"/>
          <w:color w:val="000000"/>
          <w:sz w:val="32"/>
          <w:szCs w:val="32"/>
          <w:highlight w:val="none"/>
          <w:lang w:eastAsia="zh-CN"/>
        </w:rPr>
        <w:t>农业农村</w:t>
      </w:r>
      <w:r>
        <w:rPr>
          <w:rFonts w:hint="eastAsia" w:ascii="仿宋_GB2312" w:eastAsia="仿宋_GB2312"/>
          <w:color w:val="auto"/>
          <w:sz w:val="32"/>
          <w:szCs w:val="32"/>
          <w:highlight w:val="none"/>
          <w:lang w:eastAsia="zh-CN"/>
        </w:rPr>
        <w:t>局（本级）本级</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家行政单位</w:t>
      </w:r>
      <w:r>
        <w:rPr>
          <w:rFonts w:hint="eastAsia" w:ascii="仿宋_GB2312" w:eastAsia="仿宋_GB2312" w:cs="仿宋_GB2312"/>
          <w:color w:val="auto"/>
          <w:sz w:val="32"/>
          <w:szCs w:val="32"/>
        </w:rPr>
        <w:t>的机关</w:t>
      </w:r>
      <w:r>
        <w:rPr>
          <w:rFonts w:hint="eastAsia" w:ascii="仿宋_GB2312" w:eastAsia="仿宋_GB2312"/>
          <w:color w:val="auto"/>
          <w:sz w:val="32"/>
          <w:szCs w:val="32"/>
          <w:highlight w:val="none"/>
          <w:lang w:eastAsia="zh-CN"/>
        </w:rPr>
        <w:t>运行经费财政拨款预算</w:t>
      </w:r>
      <w:r>
        <w:rPr>
          <w:rFonts w:hint="eastAsia" w:ascii="仿宋_GB2312" w:eastAsia="仿宋_GB2312"/>
          <w:color w:val="auto"/>
          <w:sz w:val="32"/>
          <w:szCs w:val="32"/>
          <w:highlight w:val="none"/>
          <w:lang w:val="en-US" w:eastAsia="zh-CN"/>
        </w:rPr>
        <w:t>241.77万元，比2020年预算增加1.73</w:t>
      </w:r>
      <w:r>
        <w:rPr>
          <w:rFonts w:hint="eastAsia" w:ascii="仿宋_GB2312" w:eastAsia="仿宋_GB2312"/>
          <w:color w:val="auto"/>
          <w:sz w:val="32"/>
          <w:szCs w:val="32"/>
          <w:highlight w:val="none"/>
        </w:rPr>
        <w:t>万元</w:t>
      </w:r>
      <w:r>
        <w:rPr>
          <w:rFonts w:hint="eastAsia" w:ascii="仿宋_GB2312" w:hAnsi="仿宋_GB2312" w:eastAsia="仿宋_GB2312" w:cs="Times New Roman"/>
          <w:color w:val="auto"/>
          <w:kern w:val="2"/>
          <w:sz w:val="32"/>
          <w:szCs w:val="20"/>
          <w:highlight w:val="none"/>
          <w:shd w:val="clear" w:color="auto" w:fill="auto"/>
          <w:lang w:val="en-US" w:eastAsia="zh-CN" w:bidi="ar"/>
        </w:rPr>
        <w:t>，增长0.72%，主要是人员增加。</w:t>
      </w:r>
    </w:p>
    <w:p>
      <w:pPr>
        <w:pStyle w:val="16"/>
        <w:keepNext w:val="0"/>
        <w:keepLines w:val="0"/>
        <w:pageBreakBefore w:val="0"/>
        <w:numPr>
          <w:ilvl w:val="0"/>
          <w:numId w:val="3"/>
        </w:numPr>
        <w:kinsoku/>
        <w:wordWrap/>
        <w:overflowPunct/>
        <w:topLinePunct w:val="0"/>
        <w:autoSpaceDE/>
        <w:autoSpaceDN/>
        <w:bidi w:val="0"/>
        <w:adjustRightInd/>
        <w:snapToGrid w:val="0"/>
        <w:spacing w:line="54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6"/>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Fonts w:hint="eastAsia" w:ascii="仿宋_GB2312" w:eastAsia="仿宋_GB2312"/>
          <w:color w:val="auto"/>
          <w:sz w:val="32"/>
          <w:szCs w:val="32"/>
          <w:highlight w:val="none"/>
          <w:u w:val="none"/>
          <w:lang w:eastAsia="zh-CN"/>
        </w:rPr>
      </w:pPr>
      <w:r>
        <w:rPr>
          <w:rFonts w:hint="eastAsia" w:ascii="仿宋_GB2312" w:eastAsia="仿宋_GB2312"/>
          <w:b w:val="0"/>
          <w:bCs w:val="0"/>
          <w:color w:val="auto"/>
          <w:sz w:val="32"/>
          <w:szCs w:val="32"/>
          <w:highlight w:val="none"/>
          <w:u w:val="none"/>
          <w:lang w:val="en-US" w:eastAsia="zh-CN"/>
        </w:rPr>
        <w:t>2021年</w:t>
      </w:r>
      <w:r>
        <w:rPr>
          <w:rFonts w:hint="eastAsia" w:ascii="仿宋_GB2312" w:eastAsia="仿宋_GB2312"/>
          <w:color w:val="auto"/>
          <w:sz w:val="32"/>
          <w:szCs w:val="32"/>
          <w:highlight w:val="none"/>
          <w:lang w:eastAsia="zh-CN"/>
        </w:rPr>
        <w:t>农业农村局（本级）单位政府采购预算总额</w:t>
      </w:r>
      <w:r>
        <w:rPr>
          <w:rFonts w:hint="eastAsia" w:ascii="仿宋_GB2312" w:eastAsia="仿宋_GB2312"/>
          <w:color w:val="auto"/>
          <w:sz w:val="32"/>
          <w:szCs w:val="32"/>
          <w:highlight w:val="none"/>
          <w:lang w:val="en-US" w:eastAsia="zh-CN"/>
        </w:rPr>
        <w:t>267.15万元，其中：政府采购货物预算75.53万元、政府采购工程预算0万元、政府采购服务预算191.62万元。</w:t>
      </w:r>
    </w:p>
    <w:p>
      <w:pPr>
        <w:pStyle w:val="16"/>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642" w:firstLineChars="0"/>
        <w:textAlignment w:val="auto"/>
        <w:outlineLvl w:val="9"/>
        <w:rPr>
          <w:rFonts w:hint="eastAsia" w:ascii="仿宋_GB2312" w:eastAsia="仿宋_GB2312"/>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3.国有资产占有使用情况</w:t>
      </w:r>
    </w:p>
    <w:p>
      <w:pPr>
        <w:keepNext w:val="0"/>
        <w:keepLines w:val="0"/>
        <w:pageBreakBefore w:val="0"/>
        <w:kinsoku/>
        <w:wordWrap/>
        <w:overflowPunct/>
        <w:topLinePunct w:val="0"/>
        <w:autoSpaceDE/>
        <w:autoSpaceDN/>
        <w:bidi w:val="0"/>
        <w:adjustRightInd/>
        <w:snapToGrid w:val="0"/>
        <w:spacing w:line="540" w:lineRule="exact"/>
        <w:ind w:right="0" w:rightChars="0"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hAnsi="仿宋_GB2312" w:eastAsia="仿宋_GB2312" w:cs="仿宋_GB2312"/>
          <w:color w:val="auto"/>
          <w:spacing w:val="6"/>
          <w:sz w:val="32"/>
          <w:szCs w:val="32"/>
          <w:highlight w:val="none"/>
          <w:lang w:eastAsia="zh-CN"/>
        </w:rPr>
        <w:t>农业农村局（本级）所属各预算单位共有车辆</w:t>
      </w:r>
      <w:r>
        <w:rPr>
          <w:rFonts w:hint="eastAsia" w:ascii="仿宋_GB2312" w:hAnsi="仿宋_GB2312" w:eastAsia="仿宋_GB2312" w:cs="仿宋_GB2312"/>
          <w:color w:val="auto"/>
          <w:sz w:val="32"/>
          <w:szCs w:val="32"/>
          <w:highlight w:val="none"/>
          <w:lang w:val="en-US" w:eastAsia="zh-CN"/>
        </w:rPr>
        <w:t>4辆，其中机要通信用车及应急保障用车0辆、执法执勤用车1辆、特种专业技术用车1辆、老干部服务用车0辆、行政执法专用车0辆、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2辆</w:t>
      </w:r>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lang w:val="en-US" w:eastAsia="zh-CN"/>
        </w:rPr>
        <w:t>2021年部门预算未安排购置车辆、单位价值50万元以上通用设备及单位价值100万元以上专用设备。</w:t>
      </w:r>
    </w:p>
    <w:p>
      <w:pPr>
        <w:pStyle w:val="16"/>
        <w:keepNext w:val="0"/>
        <w:keepLines w:val="0"/>
        <w:pageBreakBefore w:val="0"/>
        <w:numPr>
          <w:ilvl w:val="0"/>
          <w:numId w:val="0"/>
        </w:numPr>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2021年农业农村局（本级）专项公用类和发展建设类项目均实行绩效目标管理，涉及一般公共预算当年拨款3964.18万元。</w:t>
      </w:r>
    </w:p>
    <w:p>
      <w:pPr>
        <w:keepNext w:val="0"/>
        <w:keepLines w:val="0"/>
        <w:pageBreakBefore w:val="0"/>
        <w:numPr>
          <w:ilvl w:val="0"/>
          <w:numId w:val="4"/>
        </w:numPr>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Times New Roman" w:eastAsia="仿宋_GB2312" w:cs="Times New Roman"/>
          <w:b/>
          <w:bCs/>
          <w:kern w:val="0"/>
          <w:sz w:val="32"/>
          <w:szCs w:val="32"/>
          <w:highlight w:val="none"/>
          <w:u w:val="none"/>
          <w:lang w:val="en-US" w:eastAsia="zh-CN" w:bidi="ar-SA"/>
        </w:rPr>
      </w:pPr>
      <w:r>
        <w:rPr>
          <w:rFonts w:hint="eastAsia" w:ascii="仿宋_GB2312" w:hAnsi="Times New Roman" w:eastAsia="仿宋_GB2312" w:cs="Times New Roman"/>
          <w:b/>
          <w:bCs/>
          <w:kern w:val="0"/>
          <w:sz w:val="32"/>
          <w:szCs w:val="32"/>
          <w:highlight w:val="none"/>
          <w:u w:val="none"/>
          <w:lang w:val="en-US" w:eastAsia="zh-CN" w:bidi="ar-SA"/>
        </w:rPr>
        <w:t>以部门为主体的绩效目标</w:t>
      </w:r>
      <w:bookmarkStart w:id="0" w:name="_GoBack"/>
      <w:bookmarkEnd w:id="0"/>
    </w:p>
    <w:p>
      <w:pPr>
        <w:pStyle w:val="16"/>
        <w:spacing w:line="640" w:lineRule="exact"/>
        <w:ind w:firstLine="645"/>
        <w:rPr>
          <w:rFonts w:hint="eastAsia"/>
          <w:lang w:val="en-US" w:eastAsia="zh-CN"/>
        </w:rPr>
      </w:pPr>
      <w:r>
        <w:rPr>
          <w:rFonts w:hint="eastAsia" w:ascii="宋体" w:hAnsi="宋体"/>
          <w:color w:val="000000"/>
          <w:sz w:val="32"/>
          <w:szCs w:val="32"/>
          <w:lang w:eastAsia="zh-CN"/>
        </w:rPr>
        <w:t>农业农村局（本级）</w:t>
      </w:r>
      <w:r>
        <w:rPr>
          <w:rFonts w:hint="eastAsia" w:ascii="宋体" w:hAnsi="宋体"/>
          <w:color w:val="000000"/>
          <w:sz w:val="32"/>
          <w:szCs w:val="32"/>
        </w:rPr>
        <w:t>202</w:t>
      </w:r>
      <w:r>
        <w:rPr>
          <w:rFonts w:hint="eastAsia" w:ascii="宋体" w:hAnsi="宋体"/>
          <w:color w:val="000000"/>
          <w:sz w:val="32"/>
          <w:szCs w:val="32"/>
          <w:lang w:val="en-US" w:eastAsia="zh-CN"/>
        </w:rPr>
        <w:t>1</w:t>
      </w:r>
      <w:r>
        <w:rPr>
          <w:rFonts w:hint="eastAsia" w:ascii="宋体" w:hAnsi="宋体"/>
          <w:color w:val="000000"/>
          <w:sz w:val="32"/>
          <w:szCs w:val="32"/>
        </w:rPr>
        <w:t>年没有以部门为主体的绩效目标。</w:t>
      </w:r>
    </w:p>
    <w:p>
      <w:pPr>
        <w:pStyle w:val="16"/>
        <w:keepNext w:val="0"/>
        <w:keepLines w:val="0"/>
        <w:pageBreakBefore w:val="0"/>
        <w:kinsoku/>
        <w:wordWrap/>
        <w:overflowPunct/>
        <w:topLinePunct w:val="0"/>
        <w:autoSpaceDE/>
        <w:autoSpaceDN/>
        <w:bidi w:val="0"/>
        <w:adjustRightInd/>
        <w:snapToGrid w:val="0"/>
        <w:spacing w:line="540" w:lineRule="exact"/>
        <w:ind w:right="0" w:rightChars="0" w:firstLine="640" w:firstLineChars="200"/>
        <w:textAlignment w:val="auto"/>
        <w:outlineLvl w:val="9"/>
        <w:rPr>
          <w:rStyle w:val="8"/>
          <w:rFonts w:hint="eastAsia" w:ascii="黑体" w:hAnsi="黑体" w:eastAsia="黑体" w:cs="黑体"/>
          <w:b w:val="0"/>
          <w:bCs w:val="0"/>
          <w:sz w:val="32"/>
          <w:szCs w:val="32"/>
          <w:highlight w:val="none"/>
        </w:rPr>
      </w:pPr>
      <w:r>
        <w:rPr>
          <w:rStyle w:val="8"/>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1.财政拨款收入：</w:t>
      </w:r>
      <w:r>
        <w:rPr>
          <w:rFonts w:hint="eastAsia" w:ascii="仿宋_GB2312" w:hAnsi="仿宋_GB2312" w:eastAsia="仿宋_GB2312" w:cs="仿宋_GB2312"/>
          <w:color w:val="auto"/>
          <w:sz w:val="32"/>
          <w:szCs w:val="32"/>
          <w:highlight w:val="none"/>
          <w:lang w:val="en-US" w:eastAsia="zh-CN"/>
        </w:rPr>
        <w:t>本级财政部门当年拨付的财政预算资金，包括一般公共预算财政拨款和政府性基金预算财政拨款。</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2.专户资金:</w:t>
      </w:r>
      <w:r>
        <w:rPr>
          <w:rFonts w:hint="eastAsia" w:ascii="仿宋_GB2312" w:hAnsi="仿宋_GB2312" w:eastAsia="仿宋_GB2312" w:cs="仿宋_GB2312"/>
          <w:color w:val="auto"/>
          <w:sz w:val="32"/>
          <w:szCs w:val="32"/>
          <w:highlight w:val="none"/>
          <w:lang w:val="en-US" w:eastAsia="zh-CN"/>
        </w:rPr>
        <w:t>教育收费作为本部门的事业收入，纳入财政专户管理的资金。</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3.事业收入：</w:t>
      </w:r>
      <w:r>
        <w:rPr>
          <w:rFonts w:hint="eastAsia" w:ascii="仿宋_GB2312" w:hAnsi="仿宋_GB2312" w:eastAsia="仿宋_GB2312" w:cs="仿宋_GB2312"/>
          <w:color w:val="auto"/>
          <w:sz w:val="32"/>
          <w:szCs w:val="32"/>
          <w:highlight w:val="none"/>
          <w:lang w:val="en-US" w:eastAsia="zh-CN"/>
        </w:rPr>
        <w:t>事业单位开展专业业务活动及辅助活动所取得的收入，不含专户资金收入。</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4.事业单位经营收入：</w:t>
      </w:r>
      <w:r>
        <w:rPr>
          <w:rFonts w:hint="eastAsia" w:ascii="仿宋_GB2312" w:hAnsi="仿宋_GB2312" w:eastAsia="仿宋_GB2312" w:cs="仿宋_GB2312"/>
          <w:color w:val="auto"/>
          <w:sz w:val="32"/>
          <w:szCs w:val="32"/>
          <w:highlight w:val="none"/>
          <w:lang w:val="en-US" w:eastAsia="zh-CN"/>
        </w:rPr>
        <w:t>事业单位在专业业务活动及辅助活动之外开展非独立核算经营活动取得的收入。</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5.其他收入：</w:t>
      </w:r>
      <w:r>
        <w:rPr>
          <w:rFonts w:hint="eastAsia" w:ascii="仿宋_GB2312" w:hAnsi="仿宋_GB2312" w:eastAsia="仿宋_GB2312" w:cs="仿宋_GB2312"/>
          <w:color w:val="auto"/>
          <w:sz w:val="32"/>
          <w:szCs w:val="32"/>
          <w:highlight w:val="none"/>
          <w:lang w:val="en-US" w:eastAsia="zh-CN"/>
        </w:rPr>
        <w:t>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6.用事业基金弥补收支差额：</w:t>
      </w:r>
      <w:r>
        <w:rPr>
          <w:rFonts w:hint="eastAsia" w:ascii="仿宋_GB2312" w:hAnsi="仿宋_GB2312" w:eastAsia="仿宋_GB2312" w:cs="仿宋_GB2312"/>
          <w:color w:val="auto"/>
          <w:sz w:val="32"/>
          <w:szCs w:val="32"/>
          <w:highlight w:val="none"/>
          <w:lang w:val="en-US" w:eastAsia="zh-CN"/>
        </w:rPr>
        <w:t>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7.上年结转：</w:t>
      </w:r>
      <w:r>
        <w:rPr>
          <w:rFonts w:hint="eastAsia" w:ascii="仿宋_GB2312" w:hAnsi="仿宋_GB2312" w:eastAsia="仿宋_GB2312" w:cs="仿宋_GB2312"/>
          <w:color w:val="auto"/>
          <w:sz w:val="32"/>
          <w:szCs w:val="32"/>
          <w:highlight w:val="none"/>
          <w:lang w:val="en-US" w:eastAsia="zh-CN"/>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8.基本支出：</w:t>
      </w:r>
      <w:r>
        <w:rPr>
          <w:rFonts w:hint="eastAsia" w:ascii="仿宋_GB2312" w:hAnsi="仿宋_GB2312" w:eastAsia="仿宋_GB2312" w:cs="仿宋_GB2312"/>
          <w:color w:val="auto"/>
          <w:sz w:val="32"/>
          <w:szCs w:val="32"/>
          <w:highlight w:val="none"/>
          <w:lang w:val="en-US" w:eastAsia="zh-CN"/>
        </w:rPr>
        <w:t>是预算单位为保障其正常运转，完成日常工作任务所发生的支出，包括人员支出和日常公用支出。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9.项目支出：</w:t>
      </w:r>
      <w:r>
        <w:rPr>
          <w:rFonts w:hint="eastAsia" w:ascii="仿宋_GB2312" w:hAnsi="仿宋_GB2312" w:eastAsia="仿宋_GB2312" w:cs="仿宋_GB2312"/>
          <w:color w:val="auto"/>
          <w:sz w:val="32"/>
          <w:szCs w:val="32"/>
          <w:highlight w:val="none"/>
          <w:lang w:val="en-US" w:eastAsia="zh-CN"/>
        </w:rPr>
        <w:t>是预算单位为完成其特定的行政工作任务或事业发展目标所发生的支出。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10.经营支出：</w:t>
      </w:r>
      <w:r>
        <w:rPr>
          <w:rFonts w:hint="eastAsia" w:ascii="仿宋_GB2312" w:hAnsi="仿宋_GB2312" w:eastAsia="仿宋_GB2312" w:cs="仿宋_GB2312"/>
          <w:color w:val="auto"/>
          <w:sz w:val="32"/>
          <w:szCs w:val="32"/>
          <w:highlight w:val="none"/>
          <w:lang w:val="en-US" w:eastAsia="zh-CN"/>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11.“三公”经费：</w:t>
      </w:r>
      <w:r>
        <w:rPr>
          <w:rFonts w:hint="eastAsia" w:ascii="仿宋_GB2312" w:hAnsi="仿宋_GB2312" w:eastAsia="仿宋_GB2312" w:cs="仿宋_GB2312"/>
          <w:color w:val="auto"/>
          <w:sz w:val="32"/>
          <w:szCs w:val="32"/>
          <w:highlight w:val="none"/>
          <w:lang w:val="en-US" w:eastAsia="zh-CN"/>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12.机关运行经费：</w:t>
      </w:r>
      <w:r>
        <w:rPr>
          <w:rFonts w:hint="eastAsia" w:ascii="仿宋_GB2312" w:hAnsi="仿宋_GB2312" w:eastAsia="仿宋_GB2312" w:cs="仿宋_GB2312"/>
          <w:color w:val="auto"/>
          <w:sz w:val="32"/>
          <w:szCs w:val="32"/>
          <w:highlight w:val="none"/>
          <w:lang w:val="en-US" w:eastAsia="zh-CN"/>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40" w:lineRule="exact"/>
        <w:ind w:firstLine="643" w:firstLineChars="200"/>
        <w:rPr>
          <w:rFonts w:ascii="仿宋_GB2312" w:hAnsi="仿宋_GB2312" w:eastAsia="仿宋_GB2312"/>
          <w:sz w:val="32"/>
          <w:szCs w:val="32"/>
        </w:rPr>
      </w:pPr>
      <w:r>
        <w:rPr>
          <w:rFonts w:ascii="仿宋_GB2312" w:hAnsi="仿宋_GB2312" w:eastAsia="仿宋_GB2312" w:cs="仿宋_GB2312"/>
          <w:b/>
          <w:bCs/>
          <w:sz w:val="32"/>
          <w:szCs w:val="32"/>
        </w:rPr>
        <w:t>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农林水支出：</w:t>
      </w:r>
      <w:r>
        <w:rPr>
          <w:rFonts w:hint="eastAsia" w:ascii="仿宋_GB2312" w:hAnsi="仿宋_GB2312" w:eastAsia="仿宋_GB2312" w:cs="仿宋_GB2312"/>
          <w:sz w:val="32"/>
          <w:szCs w:val="32"/>
          <w:lang w:val="en-US" w:eastAsia="zh-CN"/>
        </w:rPr>
        <w:t>反映政府农林水事务支出</w:t>
      </w:r>
      <w:r>
        <w:rPr>
          <w:rFonts w:hint="eastAsia" w:ascii="仿宋_GB2312" w:hAnsi="仿宋_GB2312" w:eastAsia="仿宋_GB2312" w:cs="仿宋_GB2312"/>
          <w:sz w:val="32"/>
          <w:szCs w:val="32"/>
        </w:rPr>
        <w:t>。</w:t>
      </w:r>
    </w:p>
    <w:p>
      <w:pPr>
        <w:snapToGrid w:val="0"/>
        <w:spacing w:line="54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14.</w:t>
      </w:r>
      <w:r>
        <w:rPr>
          <w:rFonts w:hint="eastAsia" w:ascii="仿宋_GB2312" w:hAnsi="仿宋_GB2312" w:eastAsia="仿宋_GB2312" w:cs="仿宋_GB2312"/>
          <w:b/>
          <w:bCs/>
          <w:sz w:val="32"/>
          <w:szCs w:val="32"/>
          <w:lang w:val="en-US" w:eastAsia="zh-CN"/>
        </w:rPr>
        <w:t>农林水支出（类）农业农村（款）农业生产发展（项）：</w:t>
      </w:r>
      <w:r>
        <w:rPr>
          <w:rFonts w:hint="eastAsia" w:ascii="仿宋_GB2312" w:hAnsi="仿宋_GB2312" w:eastAsia="仿宋_GB2312" w:cs="仿宋_GB2312"/>
          <w:sz w:val="32"/>
          <w:szCs w:val="32"/>
          <w:lang w:val="en-US" w:eastAsia="zh-CN"/>
        </w:rPr>
        <w:t>反映用于耕地地力保护、适度规模经营、农机购置补贴、优势特色主导产业发展、畜牧水产发展、农村一二三产业融合等方面支出。</w:t>
      </w:r>
    </w:p>
    <w:p>
      <w:pPr>
        <w:snapToGrid w:val="0"/>
        <w:spacing w:line="540" w:lineRule="exact"/>
        <w:ind w:firstLine="643" w:firstLineChars="200"/>
        <w:rPr>
          <w:rFonts w:hint="eastAsia" w:ascii="仿宋_GB2312" w:hAnsi="仿宋_GB2312" w:eastAsia="仿宋_GB2312" w:cs="仿宋_GB2312"/>
          <w:sz w:val="32"/>
          <w:szCs w:val="32"/>
          <w:lang w:val="en-US" w:eastAsia="zh-CN"/>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农林水支出（类）农业农村（款）科技转化与推广服务（项）：</w:t>
      </w:r>
      <w:r>
        <w:rPr>
          <w:rFonts w:hint="eastAsia" w:ascii="仿宋_GB2312" w:hAnsi="仿宋_GB2312" w:eastAsia="仿宋_GB2312" w:cs="仿宋_GB2312"/>
          <w:sz w:val="32"/>
          <w:szCs w:val="32"/>
          <w:lang w:val="en-US" w:eastAsia="zh-CN"/>
        </w:rPr>
        <w:t>反映用于农业科技成果转化，农业新品种、新机具、新技术引进、试验、示范、推广及服务，农村人居环境整治等方面的技术试验示范支出。</w:t>
      </w:r>
    </w:p>
    <w:p>
      <w:pPr>
        <w:snapToGrid w:val="0"/>
        <w:spacing w:line="54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农林水支出（类）农业农村（款）农村社会事业（项）：</w:t>
      </w:r>
      <w:r>
        <w:rPr>
          <w:rFonts w:hint="eastAsia" w:ascii="仿宋_GB2312" w:hAnsi="仿宋_GB2312" w:eastAsia="仿宋_GB2312" w:cs="仿宋_GB2312"/>
          <w:sz w:val="32"/>
          <w:szCs w:val="32"/>
          <w:lang w:val="en-US" w:eastAsia="zh-CN"/>
        </w:rPr>
        <w:t>反映用于农村社会事业发展的支出。</w:t>
      </w:r>
    </w:p>
    <w:p>
      <w:pPr>
        <w:snapToGrid w:val="0"/>
        <w:spacing w:line="540" w:lineRule="exact"/>
        <w:ind w:firstLine="643" w:firstLineChars="200"/>
        <w:rPr>
          <w:rFonts w:hint="eastAsia" w:ascii="仿宋_GB2312" w:eastAsia="仿宋_GB2312"/>
          <w:bCs/>
          <w:color w:val="000000"/>
          <w:sz w:val="30"/>
          <w:szCs w:val="30"/>
          <w:highlight w:val="none"/>
          <w:lang w:val="en-US" w:eastAsia="zh-CN"/>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7</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住房保障支出（类）住房改革支出（款）住房公积金（项）：</w:t>
      </w:r>
      <w:r>
        <w:rPr>
          <w:rFonts w:hint="eastAsia" w:ascii="仿宋_GB2312" w:hAnsi="仿宋_GB2312" w:eastAsia="仿宋_GB2312" w:cs="仿宋_GB2312"/>
          <w:sz w:val="32"/>
          <w:szCs w:val="32"/>
          <w:lang w:val="en-US" w:eastAsia="zh-CN"/>
        </w:rPr>
        <w:t>指行政事业单位按人力资源和社会保障部、财政部规定的基本工资和津贴补贴以及规定比例为职工缴纳的住房公积金。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C2020"/>
    <w:multiLevelType w:val="singleLevel"/>
    <w:tmpl w:val="0C5C2020"/>
    <w:lvl w:ilvl="0" w:tentative="0">
      <w:start w:val="1"/>
      <w:numFmt w:val="decimal"/>
      <w:suff w:val="nothing"/>
      <w:lvlText w:val="%1．"/>
      <w:lvlJc w:val="left"/>
      <w:pPr>
        <w:ind w:left="0" w:firstLine="400"/>
      </w:pPr>
      <w:rPr>
        <w:rFonts w:hint="default"/>
      </w:rPr>
    </w:lvl>
  </w:abstractNum>
  <w:abstractNum w:abstractNumId="1">
    <w:nsid w:val="4BE9D6BA"/>
    <w:multiLevelType w:val="singleLevel"/>
    <w:tmpl w:val="4BE9D6BA"/>
    <w:lvl w:ilvl="0" w:tentative="0">
      <w:start w:val="5"/>
      <w:numFmt w:val="decimal"/>
      <w:lvlText w:val="%1."/>
      <w:lvlJc w:val="left"/>
      <w:pPr>
        <w:tabs>
          <w:tab w:val="left" w:pos="312"/>
        </w:tabs>
      </w:p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895A99C"/>
    <w:multiLevelType w:val="singleLevel"/>
    <w:tmpl w:val="5895A99C"/>
    <w:lvl w:ilvl="0" w:tentative="0">
      <w:start w:val="5"/>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47C78"/>
    <w:rsid w:val="02A63644"/>
    <w:rsid w:val="04861DCD"/>
    <w:rsid w:val="04A8524D"/>
    <w:rsid w:val="05EA52B8"/>
    <w:rsid w:val="07187A49"/>
    <w:rsid w:val="071F60DA"/>
    <w:rsid w:val="07D07794"/>
    <w:rsid w:val="09154DBA"/>
    <w:rsid w:val="097F3B10"/>
    <w:rsid w:val="09BB2BBD"/>
    <w:rsid w:val="0A35786F"/>
    <w:rsid w:val="0AC84B5E"/>
    <w:rsid w:val="0B5B3DEE"/>
    <w:rsid w:val="0C014F6D"/>
    <w:rsid w:val="0D7E330B"/>
    <w:rsid w:val="0E1F58CE"/>
    <w:rsid w:val="0F955623"/>
    <w:rsid w:val="11B60CFD"/>
    <w:rsid w:val="125B4450"/>
    <w:rsid w:val="13F316FA"/>
    <w:rsid w:val="14404489"/>
    <w:rsid w:val="14E02D3F"/>
    <w:rsid w:val="15227D1D"/>
    <w:rsid w:val="158773CD"/>
    <w:rsid w:val="15E24FDE"/>
    <w:rsid w:val="1656558B"/>
    <w:rsid w:val="177302CE"/>
    <w:rsid w:val="18224F74"/>
    <w:rsid w:val="1A780169"/>
    <w:rsid w:val="1AF538AA"/>
    <w:rsid w:val="1CAC7ADA"/>
    <w:rsid w:val="1DE40B54"/>
    <w:rsid w:val="1E3D7607"/>
    <w:rsid w:val="1F5F0E03"/>
    <w:rsid w:val="20146F18"/>
    <w:rsid w:val="218C6E2C"/>
    <w:rsid w:val="22300CC1"/>
    <w:rsid w:val="22B73235"/>
    <w:rsid w:val="23CD510E"/>
    <w:rsid w:val="26847A2B"/>
    <w:rsid w:val="26B05D7F"/>
    <w:rsid w:val="26D54578"/>
    <w:rsid w:val="26EA243D"/>
    <w:rsid w:val="27612DEC"/>
    <w:rsid w:val="27B52328"/>
    <w:rsid w:val="28102D09"/>
    <w:rsid w:val="28B568C7"/>
    <w:rsid w:val="299103F0"/>
    <w:rsid w:val="29BC4839"/>
    <w:rsid w:val="2A6F289F"/>
    <w:rsid w:val="2B986CB9"/>
    <w:rsid w:val="2E747FFC"/>
    <w:rsid w:val="2F3F1600"/>
    <w:rsid w:val="2F90227F"/>
    <w:rsid w:val="309B7483"/>
    <w:rsid w:val="30E358E7"/>
    <w:rsid w:val="34615A2E"/>
    <w:rsid w:val="34DA4DDA"/>
    <w:rsid w:val="34E20651"/>
    <w:rsid w:val="37B62195"/>
    <w:rsid w:val="39B7767C"/>
    <w:rsid w:val="3A4540B7"/>
    <w:rsid w:val="40362AC2"/>
    <w:rsid w:val="41062657"/>
    <w:rsid w:val="42655CDD"/>
    <w:rsid w:val="432B07B1"/>
    <w:rsid w:val="47A65175"/>
    <w:rsid w:val="48BB0CFC"/>
    <w:rsid w:val="49111DAD"/>
    <w:rsid w:val="49E12059"/>
    <w:rsid w:val="4A5C0238"/>
    <w:rsid w:val="4A7E021B"/>
    <w:rsid w:val="4AFA32A4"/>
    <w:rsid w:val="4B451B63"/>
    <w:rsid w:val="4BD359FD"/>
    <w:rsid w:val="4D055B72"/>
    <w:rsid w:val="4FD75A0E"/>
    <w:rsid w:val="50E96883"/>
    <w:rsid w:val="519A4DCF"/>
    <w:rsid w:val="54A75F55"/>
    <w:rsid w:val="54ED4F6E"/>
    <w:rsid w:val="57642004"/>
    <w:rsid w:val="57C8084D"/>
    <w:rsid w:val="59141DA8"/>
    <w:rsid w:val="59147898"/>
    <w:rsid w:val="5B391416"/>
    <w:rsid w:val="5BD83E24"/>
    <w:rsid w:val="5BE273C8"/>
    <w:rsid w:val="5C767F04"/>
    <w:rsid w:val="5E4A3DAB"/>
    <w:rsid w:val="5E8B7415"/>
    <w:rsid w:val="5ED56B53"/>
    <w:rsid w:val="5FF50F0F"/>
    <w:rsid w:val="608D64E0"/>
    <w:rsid w:val="65B01C53"/>
    <w:rsid w:val="66AA54F3"/>
    <w:rsid w:val="675B6313"/>
    <w:rsid w:val="677D21AF"/>
    <w:rsid w:val="68047D8E"/>
    <w:rsid w:val="6AF0581B"/>
    <w:rsid w:val="6B290AE1"/>
    <w:rsid w:val="6B773B77"/>
    <w:rsid w:val="6BF554DC"/>
    <w:rsid w:val="6C225B82"/>
    <w:rsid w:val="6D522E9A"/>
    <w:rsid w:val="6E716E64"/>
    <w:rsid w:val="6EBF20A9"/>
    <w:rsid w:val="6F40623E"/>
    <w:rsid w:val="6FDC5ADE"/>
    <w:rsid w:val="70BB3156"/>
    <w:rsid w:val="710F5EAB"/>
    <w:rsid w:val="717A0974"/>
    <w:rsid w:val="71EF11BA"/>
    <w:rsid w:val="726B6446"/>
    <w:rsid w:val="72C45913"/>
    <w:rsid w:val="748022C9"/>
    <w:rsid w:val="75AB7556"/>
    <w:rsid w:val="7637216C"/>
    <w:rsid w:val="76D65A67"/>
    <w:rsid w:val="77294714"/>
    <w:rsid w:val="79FE3B21"/>
    <w:rsid w:val="7B111424"/>
    <w:rsid w:val="7C09068C"/>
    <w:rsid w:val="7D5E296B"/>
    <w:rsid w:val="7E34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99"/>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p0"/>
    <w:basedOn w:val="1"/>
    <w:qFormat/>
    <w:uiPriority w:val="0"/>
    <w:pPr>
      <w:widowControl/>
    </w:pPr>
    <w:rPr>
      <w:kern w:val="0"/>
      <w:szCs w:val="21"/>
    </w:rPr>
  </w:style>
  <w:style w:type="character" w:customStyle="1" w:styleId="17">
    <w:name w:val="item-middle"/>
    <w:basedOn w:val="6"/>
    <w:qFormat/>
    <w:uiPriority w:val="0"/>
  </w:style>
  <w:style w:type="character" w:customStyle="1" w:styleId="18">
    <w:name w:val="image"/>
    <w:basedOn w:val="6"/>
    <w:qFormat/>
    <w:uiPriority w:val="0"/>
  </w:style>
  <w:style w:type="character" w:customStyle="1" w:styleId="19">
    <w:name w:val="image2"/>
    <w:basedOn w:val="6"/>
    <w:qFormat/>
    <w:uiPriority w:val="0"/>
  </w:style>
  <w:style w:type="character" w:customStyle="1" w:styleId="20">
    <w:name w:val="image3"/>
    <w:basedOn w:val="6"/>
    <w:qFormat/>
    <w:uiPriority w:val="0"/>
  </w:style>
  <w:style w:type="character" w:customStyle="1" w:styleId="21">
    <w:name w:val="ui-state-hover21"/>
    <w:basedOn w:val="6"/>
    <w:qFormat/>
    <w:uiPriority w:val="0"/>
  </w:style>
  <w:style w:type="character" w:customStyle="1" w:styleId="22">
    <w:name w:val="ui-state-active5"/>
    <w:basedOn w:val="6"/>
    <w:qFormat/>
    <w:uiPriority w:val="0"/>
  </w:style>
  <w:style w:type="character" w:customStyle="1" w:styleId="23">
    <w:name w:val="ui-state-default12"/>
    <w:basedOn w:val="6"/>
    <w:qFormat/>
    <w:uiPriority w:val="0"/>
  </w:style>
  <w:style w:type="character" w:customStyle="1" w:styleId="24">
    <w:name w:val="ui-state-default13"/>
    <w:basedOn w:val="6"/>
    <w:qFormat/>
    <w:uiPriority w:val="0"/>
  </w:style>
  <w:style w:type="character" w:customStyle="1" w:styleId="25">
    <w:name w:val="clicked1"/>
    <w:basedOn w:val="6"/>
    <w:qFormat/>
    <w:uiPriority w:val="0"/>
    <w:rPr>
      <w:color w:val="000000"/>
    </w:rPr>
  </w:style>
  <w:style w:type="character" w:customStyle="1" w:styleId="26">
    <w:name w:val="clicked2"/>
    <w:basedOn w:val="6"/>
    <w:qFormat/>
    <w:uiPriority w:val="0"/>
  </w:style>
  <w:style w:type="character" w:customStyle="1" w:styleId="27">
    <w:name w:val="clicked3"/>
    <w:basedOn w:val="6"/>
    <w:qFormat/>
    <w:uiPriority w:val="0"/>
  </w:style>
  <w:style w:type="character" w:customStyle="1" w:styleId="28">
    <w:name w:val="button-hover"/>
    <w:basedOn w:val="6"/>
    <w:qFormat/>
    <w:uiPriority w:val="0"/>
  </w:style>
  <w:style w:type="character" w:customStyle="1" w:styleId="29">
    <w:name w:val="button-hover1"/>
    <w:basedOn w:val="6"/>
    <w:qFormat/>
    <w:uiPriority w:val="0"/>
  </w:style>
  <w:style w:type="character" w:customStyle="1" w:styleId="30">
    <w:name w:val="group"/>
    <w:basedOn w:val="6"/>
    <w:qFormat/>
    <w:uiPriority w:val="0"/>
  </w:style>
  <w:style w:type="character" w:customStyle="1" w:styleId="31">
    <w:name w:val="directchildrenspan"/>
    <w:basedOn w:val="6"/>
    <w:qFormat/>
    <w:uiPriority w:val="0"/>
  </w:style>
  <w:style w:type="character" w:customStyle="1" w:styleId="32">
    <w:name w:val="imgspan"/>
    <w:basedOn w:val="6"/>
    <w:qFormat/>
    <w:uiPriority w:val="0"/>
  </w:style>
  <w:style w:type="character" w:customStyle="1" w:styleId="33">
    <w:name w:val="ui-icon34"/>
    <w:basedOn w:val="6"/>
    <w:qFormat/>
    <w:uiPriority w:val="0"/>
  </w:style>
  <w:style w:type="character" w:customStyle="1" w:styleId="34">
    <w:name w:val="newstitle"/>
    <w:basedOn w:val="6"/>
    <w:qFormat/>
    <w:uiPriority w:val="0"/>
    <w:rPr>
      <w:b/>
      <w:color w:val="000000"/>
      <w:sz w:val="24"/>
      <w:szCs w:val="24"/>
    </w:rPr>
  </w:style>
  <w:style w:type="character" w:customStyle="1" w:styleId="35">
    <w:name w:val="ui-state-hover"/>
    <w:basedOn w:val="6"/>
    <w:qFormat/>
    <w:uiPriority w:val="0"/>
  </w:style>
  <w:style w:type="character" w:customStyle="1" w:styleId="36">
    <w:name w:val="image1"/>
    <w:basedOn w:val="6"/>
    <w:qFormat/>
    <w:uiPriority w:val="0"/>
  </w:style>
  <w:style w:type="character" w:customStyle="1" w:styleId="37">
    <w:name w:val="clicked"/>
    <w:basedOn w:val="6"/>
    <w:qFormat/>
    <w:uiPriority w:val="0"/>
  </w:style>
  <w:style w:type="character" w:customStyle="1" w:styleId="38">
    <w:name w:val="ui-state-active"/>
    <w:basedOn w:val="6"/>
    <w:qFormat/>
    <w:uiPriority w:val="0"/>
  </w:style>
  <w:style w:type="character" w:customStyle="1" w:styleId="39">
    <w:name w:val="ui-icon33"/>
    <w:basedOn w:val="6"/>
    <w:qFormat/>
    <w:uiPriority w:val="0"/>
  </w:style>
  <w:style w:type="character" w:customStyle="1" w:styleId="40">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2020-01-22T02:56:00Z</cp:lastPrinted>
  <dcterms:modified xsi:type="dcterms:W3CDTF">2021-04-22T08:33:35Z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F589535DB7584AF38E54013668149C09</vt:lpwstr>
  </property>
</Properties>
</file>