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24" w:lineRule="auto"/>
        <w:jc w:val="center"/>
        <w:rPr>
          <w:rFonts w:hint="eastAsia" w:ascii="黑体" w:hAnsi="黑体" w:eastAsia="黑体"/>
          <w:b/>
          <w:color w:val="000000"/>
          <w:sz w:val="44"/>
          <w:highlight w:val="white"/>
        </w:rPr>
      </w:pPr>
      <w:r>
        <w:rPr>
          <w:rFonts w:hint="eastAsia" w:ascii="黑体" w:hAnsi="黑体" w:eastAsia="黑体"/>
          <w:b/>
          <w:spacing w:val="15"/>
          <w:sz w:val="44"/>
          <w:highlight w:val="white"/>
          <w:lang w:eastAsia="zh-CN"/>
        </w:rPr>
        <w:t>景宁县机关事务保障中心（本级）</w:t>
      </w:r>
      <w:r>
        <w:rPr>
          <w:rFonts w:hint="eastAsia" w:ascii="黑体" w:hAnsi="黑体" w:eastAsia="黑体"/>
          <w:b/>
          <w:color w:val="000000"/>
          <w:sz w:val="44"/>
          <w:highlight w:val="white"/>
        </w:rPr>
        <w:t>2020年度决算</w:t>
      </w:r>
    </w:p>
    <w:p>
      <w:pPr>
        <w:spacing w:beforeLines="0" w:afterLines="0" w:line="324" w:lineRule="auto"/>
        <w:jc w:val="center"/>
        <w:rPr>
          <w:rFonts w:hint="eastAsia" w:ascii="黑体" w:hAnsi="黑体" w:eastAsia="黑体"/>
          <w:b/>
          <w:color w:val="000000"/>
          <w:sz w:val="44"/>
          <w:highlight w:val="white"/>
        </w:rPr>
      </w:pPr>
      <w:r>
        <w:rPr>
          <w:rFonts w:hint="eastAsia" w:ascii="黑体" w:hAnsi="黑体" w:eastAsia="黑体"/>
          <w:b/>
          <w:color w:val="000000"/>
          <w:sz w:val="44"/>
          <w:highlight w:val="white"/>
        </w:rPr>
        <w:t>目录</w:t>
      </w:r>
    </w:p>
    <w:p>
      <w:pPr>
        <w:pStyle w:val="5"/>
        <w:spacing w:line="324" w:lineRule="auto"/>
        <w:rPr>
          <w:rFonts w:hint="eastAsia"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一、概况.</w:t>
      </w:r>
      <w:r>
        <w:rPr>
          <w:rFonts w:hint="eastAsia" w:ascii="等线" w:hAnsi="等线" w:eastAsia="等线"/>
          <w:color w:val="000000"/>
          <w:sz w:val="22"/>
          <w:highlight w:val="white"/>
        </w:rPr>
        <w:t>............................................................................................................................</w:t>
      </w:r>
      <w:r>
        <w:rPr>
          <w:rFonts w:cs="等线" w:asciiTheme="minorEastAsia" w:hAnsiTheme="minorEastAsia" w:eastAsiaTheme="minorEastAsia"/>
          <w:color w:val="3D3D3D"/>
          <w:sz w:val="22"/>
          <w:szCs w:val="22"/>
          <w:shd w:val="clear" w:color="auto" w:fill="FFFFFF"/>
        </w:rPr>
        <w:t>..</w:t>
      </w:r>
      <w:r>
        <w:rPr>
          <w:rFonts w:cs="等线" w:asciiTheme="minorEastAsia" w:hAnsiTheme="minorEastAsia" w:eastAsiaTheme="minorEastAsia"/>
          <w:color w:val="3D3D3D"/>
          <w:sz w:val="22"/>
          <w:szCs w:val="22"/>
        </w:rPr>
        <w:t xml:space="preserve"> (</w:t>
      </w:r>
      <w:r>
        <w:rPr>
          <w:rFonts w:hint="eastAsia" w:cs="等线" w:asciiTheme="minorEastAsia" w:hAnsiTheme="minorEastAsia" w:eastAsiaTheme="minorEastAsia"/>
          <w:color w:val="3D3D3D"/>
          <w:sz w:val="22"/>
          <w:szCs w:val="22"/>
        </w:rPr>
        <w:t>2</w:t>
      </w:r>
      <w:r>
        <w:rPr>
          <w:rFonts w:cs="等线" w:asciiTheme="minorEastAsia" w:hAnsiTheme="minorEastAsia" w:eastAsiaTheme="minorEastAsia"/>
          <w:color w:val="3D3D3D"/>
          <w:sz w:val="22"/>
          <w:szCs w:val="22"/>
        </w:rPr>
        <w:t>)</w:t>
      </w:r>
    </w:p>
    <w:p>
      <w:pPr>
        <w:pStyle w:val="5"/>
        <w:spacing w:line="324" w:lineRule="auto"/>
        <w:rPr>
          <w:rFonts w:hint="eastAsia"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（一）部门（单位）职责.........</w:t>
      </w:r>
      <w:r>
        <w:rPr>
          <w:rFonts w:hint="eastAsia" w:ascii="等线" w:hAnsi="等线" w:eastAsia="等线"/>
          <w:color w:val="000000"/>
          <w:sz w:val="22"/>
          <w:highlight w:val="white"/>
        </w:rPr>
        <w:t>........................................................................................</w:t>
      </w:r>
      <w:r>
        <w:rPr>
          <w:rFonts w:cs="等线" w:asciiTheme="minorEastAsia" w:hAnsiTheme="minorEastAsia" w:eastAsiaTheme="minorEastAsia"/>
          <w:color w:val="3D3D3D"/>
          <w:sz w:val="22"/>
          <w:szCs w:val="22"/>
          <w:shd w:val="clear" w:color="auto" w:fill="FFFFFF"/>
        </w:rPr>
        <w:t>.....</w:t>
      </w:r>
      <w:r>
        <w:rPr>
          <w:rFonts w:cs="等线" w:asciiTheme="minorEastAsia" w:hAnsiTheme="minorEastAsia" w:eastAsiaTheme="minorEastAsia"/>
          <w:color w:val="3D3D3D"/>
          <w:sz w:val="22"/>
          <w:szCs w:val="22"/>
        </w:rPr>
        <w:t xml:space="preserve"> (</w:t>
      </w:r>
      <w:r>
        <w:rPr>
          <w:rFonts w:hint="default" w:cs="等线" w:asciiTheme="minorEastAsia" w:hAnsiTheme="minorEastAsia" w:eastAsiaTheme="minorEastAsia"/>
          <w:color w:val="3D3D3D"/>
          <w:sz w:val="22"/>
          <w:szCs w:val="22"/>
          <w:lang w:eastAsia="zh-CN"/>
        </w:rPr>
        <w:t>2</w:t>
      </w:r>
      <w:r>
        <w:rPr>
          <w:rFonts w:cs="等线" w:asciiTheme="minorEastAsia" w:hAnsiTheme="minorEastAsia" w:eastAsiaTheme="minorEastAsia"/>
          <w:color w:val="3D3D3D"/>
          <w:sz w:val="22"/>
          <w:szCs w:val="22"/>
        </w:rPr>
        <w:t>)</w:t>
      </w:r>
    </w:p>
    <w:p>
      <w:pPr>
        <w:pStyle w:val="5"/>
        <w:spacing w:line="324" w:lineRule="auto"/>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（二）机构</w:t>
      </w:r>
      <w:r>
        <w:rPr>
          <w:rFonts w:hint="eastAsia" w:cs="等线" w:asciiTheme="minorEastAsia" w:hAnsiTheme="minorEastAsia" w:eastAsiaTheme="minorEastAsia"/>
          <w:color w:val="3D3D3D"/>
          <w:sz w:val="22"/>
          <w:szCs w:val="22"/>
          <w:shd w:val="clear" w:color="auto" w:fill="FFFFFF"/>
        </w:rPr>
        <w:t>设置</w:t>
      </w:r>
      <w:r>
        <w:rPr>
          <w:rFonts w:cs="等线" w:asciiTheme="minorEastAsia" w:hAnsiTheme="minorEastAsia" w:eastAsiaTheme="minorEastAsia"/>
          <w:color w:val="3D3D3D"/>
          <w:sz w:val="22"/>
          <w:szCs w:val="22"/>
          <w:shd w:val="clear" w:color="auto" w:fill="FFFFFF"/>
        </w:rPr>
        <w:t>....</w:t>
      </w:r>
      <w:r>
        <w:rPr>
          <w:rFonts w:hint="eastAsia" w:ascii="等线" w:hAnsi="等线" w:eastAsia="等线"/>
          <w:color w:val="000000"/>
          <w:sz w:val="22"/>
          <w:highlight w:val="white"/>
        </w:rPr>
        <w:t>...........................................................................................................</w:t>
      </w:r>
      <w:r>
        <w:rPr>
          <w:rFonts w:cs="等线" w:asciiTheme="minorEastAsia" w:hAnsiTheme="minorEastAsia" w:eastAsiaTheme="minorEastAsia"/>
          <w:color w:val="3D3D3D"/>
          <w:sz w:val="22"/>
          <w:szCs w:val="22"/>
          <w:shd w:val="clear" w:color="auto" w:fill="FFFFFF"/>
        </w:rPr>
        <w:t>....</w:t>
      </w:r>
      <w:r>
        <w:rPr>
          <w:rFonts w:cs="等线" w:asciiTheme="minorEastAsia" w:hAnsiTheme="minorEastAsia" w:eastAsiaTheme="minorEastAsia"/>
          <w:color w:val="3D3D3D"/>
          <w:sz w:val="22"/>
          <w:szCs w:val="22"/>
        </w:rPr>
        <w:t xml:space="preserve"> (</w:t>
      </w:r>
      <w:r>
        <w:rPr>
          <w:rFonts w:hint="default" w:cs="等线" w:asciiTheme="minorEastAsia" w:hAnsiTheme="minorEastAsia" w:eastAsiaTheme="minorEastAsia"/>
          <w:color w:val="3D3D3D"/>
          <w:sz w:val="22"/>
          <w:szCs w:val="22"/>
          <w:lang w:eastAsia="zh-CN"/>
        </w:rPr>
        <w:t>4</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rPr>
        <w:t>二、</w:t>
      </w:r>
      <w:r>
        <w:rPr>
          <w:rFonts w:cs="等线" w:asciiTheme="minorEastAsia" w:hAnsiTheme="minorEastAsia" w:eastAsiaTheme="minorEastAsia"/>
          <w:color w:val="3D3D3D"/>
          <w:sz w:val="22"/>
          <w:szCs w:val="22"/>
          <w:shd w:val="clear" w:color="auto" w:fill="FFFFFF"/>
        </w:rPr>
        <w:t>2020年度部门（单位）决算公开表</w:t>
      </w:r>
      <w:r>
        <w:rPr>
          <w:rFonts w:hint="eastAsia" w:ascii="等线" w:hAnsi="等线" w:eastAsia="等线"/>
          <w:color w:val="000000"/>
          <w:sz w:val="22"/>
          <w:highlight w:val="white"/>
        </w:rPr>
        <w:t>...............................................................................</w:t>
      </w:r>
      <w:r>
        <w:rPr>
          <w:rFonts w:cs="等线" w:asciiTheme="minorEastAsia" w:hAnsiTheme="minorEastAsia" w:eastAsiaTheme="minorEastAsia"/>
          <w:color w:val="3D3D3D"/>
          <w:sz w:val="22"/>
          <w:szCs w:val="22"/>
        </w:rPr>
        <w:t>(</w:t>
      </w:r>
      <w:r>
        <w:rPr>
          <w:rFonts w:hint="default" w:cs="等线" w:asciiTheme="minorEastAsia" w:hAnsiTheme="minorEastAsia" w:eastAsiaTheme="minorEastAsia"/>
          <w:color w:val="3D3D3D"/>
          <w:sz w:val="22"/>
          <w:szCs w:val="22"/>
        </w:rPr>
        <w:t>4</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三、2020年度部门（单位）决算情况说明.............................................................................</w:t>
      </w:r>
      <w:r>
        <w:rPr>
          <w:rFonts w:cs="等线" w:asciiTheme="minorEastAsia" w:hAnsiTheme="minorEastAsia" w:eastAsiaTheme="minorEastAsia"/>
          <w:color w:val="3D3D3D"/>
          <w:sz w:val="22"/>
          <w:szCs w:val="22"/>
        </w:rPr>
        <w:t>(</w:t>
      </w:r>
      <w:r>
        <w:rPr>
          <w:rFonts w:hint="default" w:cs="等线" w:asciiTheme="minorEastAsia" w:hAnsiTheme="minorEastAsia" w:eastAsiaTheme="minorEastAsia"/>
          <w:color w:val="3D3D3D"/>
          <w:sz w:val="22"/>
          <w:szCs w:val="22"/>
        </w:rPr>
        <w:t>4</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（一）收入支出决算总体情况说明......................................................................................</w:t>
      </w:r>
      <w:r>
        <w:rPr>
          <w:rFonts w:cs="等线" w:asciiTheme="minorEastAsia" w:hAnsiTheme="minorEastAsia" w:eastAsiaTheme="minorEastAsia"/>
          <w:color w:val="3D3D3D"/>
          <w:sz w:val="22"/>
          <w:szCs w:val="22"/>
        </w:rPr>
        <w:t>(</w:t>
      </w:r>
      <w:r>
        <w:rPr>
          <w:rFonts w:hint="default" w:cs="等线" w:asciiTheme="minorEastAsia" w:hAnsiTheme="minorEastAsia" w:eastAsiaTheme="minorEastAsia"/>
          <w:color w:val="3D3D3D"/>
          <w:sz w:val="22"/>
          <w:szCs w:val="22"/>
        </w:rPr>
        <w:t>4</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（二）收入决算情况说明.....................................................................................................</w:t>
      </w:r>
      <w:r>
        <w:rPr>
          <w:rFonts w:cs="等线" w:asciiTheme="minorEastAsia" w:hAnsiTheme="minorEastAsia" w:eastAsiaTheme="minorEastAsia"/>
          <w:color w:val="3D3D3D"/>
          <w:sz w:val="22"/>
          <w:szCs w:val="22"/>
        </w:rPr>
        <w:t>(</w:t>
      </w:r>
      <w:r>
        <w:rPr>
          <w:rFonts w:hint="eastAsia" w:cs="等线" w:asciiTheme="minorEastAsia" w:hAnsiTheme="minorEastAsia" w:eastAsiaTheme="minorEastAsia"/>
          <w:color w:val="3D3D3D"/>
          <w:sz w:val="22"/>
          <w:szCs w:val="22"/>
        </w:rPr>
        <w:t>4</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（三）支出决算情况说明.....................................................................................................</w:t>
      </w:r>
      <w:r>
        <w:rPr>
          <w:rFonts w:cs="等线" w:asciiTheme="minorEastAsia" w:hAnsiTheme="minorEastAsia" w:eastAsiaTheme="minorEastAsia"/>
          <w:color w:val="3D3D3D"/>
          <w:sz w:val="22"/>
          <w:szCs w:val="22"/>
        </w:rPr>
        <w:t>(</w:t>
      </w:r>
      <w:r>
        <w:rPr>
          <w:rFonts w:hint="default" w:cs="等线" w:asciiTheme="minorEastAsia" w:hAnsiTheme="minorEastAsia" w:eastAsiaTheme="minorEastAsia"/>
          <w:color w:val="3D3D3D"/>
          <w:sz w:val="22"/>
          <w:szCs w:val="22"/>
        </w:rPr>
        <w:t>5</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（四）财政拨款收入支出决算总体情况</w:t>
      </w:r>
      <w:r>
        <w:rPr>
          <w:rFonts w:hint="eastAsia" w:cs="等线" w:asciiTheme="minorEastAsia" w:hAnsiTheme="minorEastAsia" w:eastAsiaTheme="minorEastAsia"/>
          <w:color w:val="3D3D3D"/>
          <w:sz w:val="22"/>
          <w:szCs w:val="22"/>
          <w:shd w:val="clear" w:color="auto" w:fill="FFFFFF"/>
        </w:rPr>
        <w:t>说明</w:t>
      </w:r>
      <w:r>
        <w:rPr>
          <w:rFonts w:cs="等线" w:asciiTheme="minorEastAsia" w:hAnsiTheme="minorEastAsia" w:eastAsiaTheme="minorEastAsia"/>
          <w:color w:val="3D3D3D"/>
          <w:sz w:val="22"/>
          <w:szCs w:val="22"/>
          <w:shd w:val="clear" w:color="auto" w:fill="FFFFFF"/>
        </w:rPr>
        <w:t>.......................................................................</w:t>
      </w:r>
      <w:r>
        <w:rPr>
          <w:rFonts w:cs="等线" w:asciiTheme="minorEastAsia" w:hAnsiTheme="minorEastAsia" w:eastAsiaTheme="minorEastAsia"/>
          <w:color w:val="3D3D3D"/>
          <w:sz w:val="22"/>
          <w:szCs w:val="22"/>
        </w:rPr>
        <w:t>(</w:t>
      </w:r>
      <w:r>
        <w:rPr>
          <w:rFonts w:hint="default" w:cs="等线" w:asciiTheme="minorEastAsia" w:hAnsiTheme="minorEastAsia" w:eastAsiaTheme="minorEastAsia"/>
          <w:color w:val="3D3D3D"/>
          <w:sz w:val="22"/>
          <w:szCs w:val="22"/>
        </w:rPr>
        <w:t>5</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（五）一般公共预算财政拨款支出决算情</w:t>
      </w:r>
      <w:r>
        <w:rPr>
          <w:rFonts w:hint="eastAsia" w:cs="等线" w:asciiTheme="minorEastAsia" w:hAnsiTheme="minorEastAsia" w:eastAsiaTheme="minorEastAsia"/>
          <w:color w:val="3D3D3D"/>
          <w:sz w:val="22"/>
          <w:szCs w:val="22"/>
          <w:shd w:val="clear" w:color="auto" w:fill="FFFFFF"/>
        </w:rPr>
        <w:t>况说明</w:t>
      </w:r>
      <w:r>
        <w:rPr>
          <w:rFonts w:cs="等线" w:asciiTheme="minorEastAsia" w:hAnsiTheme="minorEastAsia" w:eastAsiaTheme="minorEastAsia"/>
          <w:color w:val="3D3D3D"/>
          <w:sz w:val="22"/>
          <w:szCs w:val="22"/>
          <w:shd w:val="clear" w:color="auto" w:fill="FFFFFF"/>
        </w:rPr>
        <w:t>................................................................</w:t>
      </w:r>
      <w:r>
        <w:rPr>
          <w:rFonts w:cs="等线" w:asciiTheme="minorEastAsia" w:hAnsiTheme="minorEastAsia" w:eastAsiaTheme="minorEastAsia"/>
          <w:color w:val="3D3D3D"/>
          <w:sz w:val="22"/>
          <w:szCs w:val="22"/>
        </w:rPr>
        <w:t>(</w:t>
      </w:r>
      <w:r>
        <w:rPr>
          <w:rFonts w:hint="eastAsia" w:cs="等线" w:asciiTheme="minorEastAsia" w:hAnsiTheme="minorEastAsia" w:eastAsiaTheme="minorEastAsia"/>
          <w:color w:val="3D3D3D"/>
          <w:sz w:val="22"/>
          <w:szCs w:val="22"/>
          <w:lang w:val="en-US" w:eastAsia="zh-CN"/>
        </w:rPr>
        <w:t>5</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（六）一般公共预算财政拨款基本支出决算情况说</w:t>
      </w:r>
      <w:r>
        <w:rPr>
          <w:rFonts w:hint="eastAsia" w:cs="等线" w:asciiTheme="minorEastAsia" w:hAnsiTheme="minorEastAsia" w:eastAsiaTheme="minorEastAsia"/>
          <w:color w:val="3D3D3D"/>
          <w:sz w:val="22"/>
          <w:szCs w:val="22"/>
          <w:shd w:val="clear" w:color="auto" w:fill="FFFFFF"/>
        </w:rPr>
        <w:t>明</w:t>
      </w:r>
      <w:r>
        <w:rPr>
          <w:rFonts w:cs="等线" w:asciiTheme="minorEastAsia" w:hAnsiTheme="minorEastAsia" w:eastAsiaTheme="minorEastAsia"/>
          <w:color w:val="3D3D3D"/>
          <w:sz w:val="22"/>
          <w:szCs w:val="22"/>
          <w:shd w:val="clear" w:color="auto" w:fill="FFFFFF"/>
        </w:rPr>
        <w:t>.........................................................</w:t>
      </w:r>
      <w:r>
        <w:rPr>
          <w:rFonts w:cs="等线" w:asciiTheme="minorEastAsia" w:hAnsiTheme="minorEastAsia" w:eastAsiaTheme="minorEastAsia"/>
          <w:color w:val="3D3D3D"/>
          <w:sz w:val="22"/>
          <w:szCs w:val="22"/>
        </w:rPr>
        <w:t>(</w:t>
      </w:r>
      <w:r>
        <w:rPr>
          <w:rFonts w:hint="eastAsia" w:cs="等线" w:asciiTheme="minorEastAsia" w:hAnsiTheme="minorEastAsia" w:eastAsiaTheme="minorEastAsia"/>
          <w:color w:val="3D3D3D"/>
          <w:sz w:val="22"/>
          <w:szCs w:val="22"/>
          <w:lang w:val="en-US" w:eastAsia="zh-CN"/>
        </w:rPr>
        <w:t>8</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（七）政府性基金预算财政拨款支出决算总体情况说</w:t>
      </w:r>
      <w:r>
        <w:rPr>
          <w:rFonts w:hint="eastAsia" w:cs="等线" w:asciiTheme="minorEastAsia" w:hAnsiTheme="minorEastAsia" w:eastAsiaTheme="minorEastAsia"/>
          <w:color w:val="3D3D3D"/>
          <w:sz w:val="22"/>
          <w:szCs w:val="22"/>
          <w:shd w:val="clear" w:color="auto" w:fill="FFFFFF"/>
        </w:rPr>
        <w:t>明</w:t>
      </w:r>
      <w:r>
        <w:rPr>
          <w:rFonts w:cs="等线" w:asciiTheme="minorEastAsia" w:hAnsiTheme="minorEastAsia" w:eastAsiaTheme="minorEastAsia"/>
          <w:color w:val="3D3D3D"/>
          <w:sz w:val="22"/>
          <w:szCs w:val="22"/>
          <w:shd w:val="clear" w:color="auto" w:fill="FFFFFF"/>
        </w:rPr>
        <w:t>....................................................</w:t>
      </w:r>
      <w:r>
        <w:rPr>
          <w:rFonts w:cs="等线" w:asciiTheme="minorEastAsia" w:hAnsiTheme="minorEastAsia" w:eastAsiaTheme="minorEastAsia"/>
          <w:color w:val="3D3D3D"/>
          <w:sz w:val="22"/>
          <w:szCs w:val="22"/>
        </w:rPr>
        <w:t>(</w:t>
      </w:r>
      <w:r>
        <w:rPr>
          <w:rFonts w:hint="eastAsia" w:cs="等线" w:asciiTheme="minorEastAsia" w:hAnsiTheme="minorEastAsia" w:eastAsiaTheme="minorEastAsia"/>
          <w:color w:val="3D3D3D"/>
          <w:sz w:val="22"/>
          <w:szCs w:val="22"/>
          <w:lang w:val="en-US" w:eastAsia="zh-CN"/>
        </w:rPr>
        <w:t>9</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（八）国有资本经营预算财政拨款支出决算总体情况说</w:t>
      </w:r>
      <w:r>
        <w:rPr>
          <w:rFonts w:hint="eastAsia" w:cs="等线" w:asciiTheme="minorEastAsia" w:hAnsiTheme="minorEastAsia" w:eastAsiaTheme="minorEastAsia"/>
          <w:color w:val="3D3D3D"/>
          <w:sz w:val="22"/>
          <w:szCs w:val="22"/>
          <w:shd w:val="clear" w:color="auto" w:fill="FFFFFF"/>
        </w:rPr>
        <w:t>明</w:t>
      </w:r>
      <w:r>
        <w:rPr>
          <w:rFonts w:cs="等线" w:asciiTheme="minorEastAsia" w:hAnsiTheme="minorEastAsia" w:eastAsiaTheme="minorEastAsia"/>
          <w:color w:val="3D3D3D"/>
          <w:sz w:val="22"/>
          <w:szCs w:val="22"/>
          <w:shd w:val="clear" w:color="auto" w:fill="FFFFFF"/>
        </w:rPr>
        <w:t>................................................</w:t>
      </w:r>
      <w:r>
        <w:rPr>
          <w:rFonts w:cs="等线" w:asciiTheme="minorEastAsia" w:hAnsiTheme="minorEastAsia" w:eastAsiaTheme="minorEastAsia"/>
          <w:color w:val="3D3D3D"/>
          <w:sz w:val="22"/>
          <w:szCs w:val="22"/>
        </w:rPr>
        <w:t>(</w:t>
      </w:r>
      <w:r>
        <w:rPr>
          <w:rFonts w:hint="eastAsia" w:cs="等线" w:asciiTheme="minorEastAsia" w:hAnsiTheme="minorEastAsia" w:eastAsiaTheme="minorEastAsia"/>
          <w:color w:val="3D3D3D"/>
          <w:sz w:val="22"/>
          <w:szCs w:val="22"/>
          <w:lang w:val="en-US" w:eastAsia="zh-CN"/>
        </w:rPr>
        <w:t>9</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（九）一般公共预算财政拨款“三公”经费支出决算情况</w:t>
      </w:r>
      <w:r>
        <w:rPr>
          <w:rFonts w:hint="eastAsia" w:cs="等线" w:asciiTheme="minorEastAsia" w:hAnsiTheme="minorEastAsia" w:eastAsiaTheme="minorEastAsia"/>
          <w:color w:val="3D3D3D"/>
          <w:sz w:val="22"/>
          <w:szCs w:val="22"/>
          <w:shd w:val="clear" w:color="auto" w:fill="FFFFFF"/>
        </w:rPr>
        <w:t>说明</w:t>
      </w:r>
      <w:r>
        <w:rPr>
          <w:rFonts w:cs="等线" w:asciiTheme="minorEastAsia" w:hAnsiTheme="minorEastAsia" w:eastAsiaTheme="minorEastAsia"/>
          <w:color w:val="3D3D3D"/>
          <w:sz w:val="22"/>
          <w:szCs w:val="22"/>
          <w:shd w:val="clear" w:color="auto" w:fill="FFFFFF"/>
        </w:rPr>
        <w:t>.......................................</w:t>
      </w:r>
      <w:r>
        <w:rPr>
          <w:rFonts w:cs="等线" w:asciiTheme="minorEastAsia" w:hAnsiTheme="minorEastAsia" w:eastAsiaTheme="minorEastAsia"/>
          <w:color w:val="3D3D3D"/>
          <w:sz w:val="22"/>
          <w:szCs w:val="22"/>
        </w:rPr>
        <w:t>(</w:t>
      </w:r>
      <w:r>
        <w:rPr>
          <w:rFonts w:hint="eastAsia" w:cs="等线" w:asciiTheme="minorEastAsia" w:hAnsiTheme="minorEastAsia" w:eastAsiaTheme="minorEastAsia"/>
          <w:color w:val="3D3D3D"/>
          <w:sz w:val="22"/>
          <w:szCs w:val="22"/>
          <w:lang w:val="en-US" w:eastAsia="zh-CN"/>
        </w:rPr>
        <w:t>10</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（十）机关运行经费支出说明...........................................................................................</w:t>
      </w:r>
      <w:r>
        <w:rPr>
          <w:rFonts w:cs="等线" w:asciiTheme="minorEastAsia" w:hAnsiTheme="minorEastAsia" w:eastAsiaTheme="minorEastAsia"/>
          <w:color w:val="3D3D3D"/>
          <w:sz w:val="22"/>
          <w:szCs w:val="22"/>
        </w:rPr>
        <w:t>(</w:t>
      </w:r>
      <w:r>
        <w:rPr>
          <w:rFonts w:hint="eastAsia" w:cs="等线" w:asciiTheme="minorEastAsia" w:hAnsiTheme="minorEastAsia" w:eastAsiaTheme="minorEastAsia"/>
          <w:color w:val="3D3D3D"/>
          <w:sz w:val="22"/>
          <w:szCs w:val="22"/>
        </w:rPr>
        <w:t>1</w:t>
      </w:r>
      <w:r>
        <w:rPr>
          <w:rFonts w:hint="eastAsia" w:cs="等线" w:asciiTheme="minorEastAsia" w:hAnsiTheme="minorEastAsia" w:eastAsiaTheme="minorEastAsia"/>
          <w:color w:val="3D3D3D"/>
          <w:sz w:val="22"/>
          <w:szCs w:val="22"/>
          <w:lang w:val="en-US" w:eastAsia="zh-CN"/>
        </w:rPr>
        <w:t>2</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（十一）政府采购支出说</w:t>
      </w:r>
      <w:r>
        <w:rPr>
          <w:rFonts w:hint="eastAsia" w:cs="等线" w:asciiTheme="minorEastAsia" w:hAnsiTheme="minorEastAsia" w:eastAsiaTheme="minorEastAsia"/>
          <w:color w:val="3D3D3D"/>
          <w:sz w:val="22"/>
          <w:szCs w:val="22"/>
          <w:shd w:val="clear" w:color="auto" w:fill="FFFFFF"/>
        </w:rPr>
        <w:t>明</w:t>
      </w:r>
      <w:r>
        <w:rPr>
          <w:rFonts w:cs="等线" w:asciiTheme="minorEastAsia" w:hAnsiTheme="minorEastAsia" w:eastAsiaTheme="minorEastAsia"/>
          <w:color w:val="3D3D3D"/>
          <w:sz w:val="22"/>
          <w:szCs w:val="22"/>
          <w:shd w:val="clear" w:color="auto" w:fill="FFFFFF"/>
        </w:rPr>
        <w:t>..............................................................................................</w:t>
      </w:r>
      <w:r>
        <w:rPr>
          <w:rFonts w:cs="等线" w:asciiTheme="minorEastAsia" w:hAnsiTheme="minorEastAsia" w:eastAsiaTheme="minorEastAsia"/>
          <w:color w:val="3D3D3D"/>
          <w:sz w:val="22"/>
          <w:szCs w:val="22"/>
        </w:rPr>
        <w:t>(</w:t>
      </w:r>
      <w:r>
        <w:rPr>
          <w:rFonts w:hint="eastAsia" w:cs="等线" w:asciiTheme="minorEastAsia" w:hAnsiTheme="minorEastAsia" w:eastAsiaTheme="minorEastAsia"/>
          <w:color w:val="3D3D3D"/>
          <w:sz w:val="22"/>
          <w:szCs w:val="22"/>
          <w:lang w:val="en-US" w:eastAsia="zh-CN"/>
        </w:rPr>
        <w:t>13</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（十二）国有资产占有情况说</w:t>
      </w:r>
      <w:r>
        <w:rPr>
          <w:rFonts w:hint="eastAsia" w:cs="等线" w:asciiTheme="minorEastAsia" w:hAnsiTheme="minorEastAsia" w:eastAsiaTheme="minorEastAsia"/>
          <w:color w:val="3D3D3D"/>
          <w:sz w:val="22"/>
          <w:szCs w:val="22"/>
          <w:shd w:val="clear" w:color="auto" w:fill="FFFFFF"/>
        </w:rPr>
        <w:t>明</w:t>
      </w:r>
      <w:r>
        <w:rPr>
          <w:rFonts w:cs="等线" w:asciiTheme="minorEastAsia" w:hAnsiTheme="minorEastAsia" w:eastAsiaTheme="minorEastAsia"/>
          <w:color w:val="3D3D3D"/>
          <w:sz w:val="22"/>
          <w:szCs w:val="22"/>
          <w:shd w:val="clear" w:color="auto" w:fill="FFFFFF"/>
        </w:rPr>
        <w:t>......................................................................................</w:t>
      </w:r>
      <w:r>
        <w:rPr>
          <w:rFonts w:cs="等线" w:asciiTheme="minorEastAsia" w:hAnsiTheme="minorEastAsia" w:eastAsiaTheme="minorEastAsia"/>
          <w:color w:val="3D3D3D"/>
          <w:sz w:val="22"/>
          <w:szCs w:val="22"/>
        </w:rPr>
        <w:t>(</w:t>
      </w:r>
      <w:r>
        <w:rPr>
          <w:rFonts w:hint="eastAsia" w:cs="等线" w:asciiTheme="minorEastAsia" w:hAnsiTheme="minorEastAsia" w:eastAsiaTheme="minorEastAsia"/>
          <w:color w:val="3D3D3D"/>
          <w:sz w:val="22"/>
          <w:szCs w:val="22"/>
          <w:lang w:val="en-US" w:eastAsia="zh-CN"/>
        </w:rPr>
        <w:t>13</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（十三）预算绩效情况说</w:t>
      </w:r>
      <w:r>
        <w:rPr>
          <w:rFonts w:hint="eastAsia" w:cs="等线" w:asciiTheme="minorEastAsia" w:hAnsiTheme="minorEastAsia" w:eastAsiaTheme="minorEastAsia"/>
          <w:color w:val="3D3D3D"/>
          <w:sz w:val="22"/>
          <w:szCs w:val="22"/>
          <w:shd w:val="clear" w:color="auto" w:fill="FFFFFF"/>
        </w:rPr>
        <w:t>明</w:t>
      </w:r>
      <w:r>
        <w:rPr>
          <w:rFonts w:cs="等线" w:asciiTheme="minorEastAsia" w:hAnsiTheme="minorEastAsia" w:eastAsiaTheme="minorEastAsia"/>
          <w:color w:val="3D3D3D"/>
          <w:sz w:val="22"/>
          <w:szCs w:val="22"/>
          <w:shd w:val="clear" w:color="auto" w:fill="FFFFFF"/>
        </w:rPr>
        <w:t>.............................................................................................</w:t>
      </w:r>
      <w:r>
        <w:rPr>
          <w:rFonts w:cs="等线" w:asciiTheme="minorEastAsia" w:hAnsiTheme="minorEastAsia" w:eastAsiaTheme="minorEastAsia"/>
          <w:color w:val="3D3D3D"/>
          <w:sz w:val="22"/>
          <w:szCs w:val="22"/>
        </w:rPr>
        <w:t>(</w:t>
      </w:r>
      <w:r>
        <w:rPr>
          <w:rFonts w:hint="eastAsia" w:cs="等线" w:asciiTheme="minorEastAsia" w:hAnsiTheme="minorEastAsia" w:eastAsiaTheme="minorEastAsia"/>
          <w:color w:val="3D3D3D"/>
          <w:sz w:val="22"/>
          <w:szCs w:val="22"/>
        </w:rPr>
        <w:t>12</w:t>
      </w:r>
      <w:r>
        <w:rPr>
          <w:rFonts w:cs="等线" w:asciiTheme="minorEastAsia" w:hAnsiTheme="minorEastAsia" w:eastAsiaTheme="minorEastAsia"/>
          <w:color w:val="3D3D3D"/>
          <w:sz w:val="22"/>
          <w:szCs w:val="22"/>
        </w:rPr>
        <w:t>)</w:t>
      </w:r>
    </w:p>
    <w:p>
      <w:pPr>
        <w:pStyle w:val="5"/>
        <w:spacing w:line="390" w:lineRule="atLeast"/>
        <w:rPr>
          <w:rFonts w:asciiTheme="minorEastAsia" w:hAnsiTheme="minorEastAsia" w:eastAsiaTheme="minorEastAsia"/>
          <w:sz w:val="21"/>
          <w:szCs w:val="21"/>
        </w:rPr>
      </w:pPr>
      <w:r>
        <w:rPr>
          <w:rFonts w:cs="等线" w:asciiTheme="minorEastAsia" w:hAnsiTheme="minorEastAsia" w:eastAsiaTheme="minorEastAsia"/>
          <w:color w:val="3D3D3D"/>
          <w:sz w:val="22"/>
          <w:szCs w:val="22"/>
          <w:shd w:val="clear" w:color="auto" w:fill="FFFFFF"/>
        </w:rPr>
        <w:t>四、名词</w:t>
      </w:r>
      <w:r>
        <w:rPr>
          <w:rFonts w:hint="eastAsia" w:cs="等线" w:asciiTheme="minorEastAsia" w:hAnsiTheme="minorEastAsia" w:eastAsiaTheme="minorEastAsia"/>
          <w:color w:val="3D3D3D"/>
          <w:sz w:val="22"/>
          <w:szCs w:val="22"/>
          <w:shd w:val="clear" w:color="auto" w:fill="FFFFFF"/>
        </w:rPr>
        <w:t>解释</w:t>
      </w:r>
      <w:r>
        <w:rPr>
          <w:rFonts w:cs="等线" w:asciiTheme="minorEastAsia" w:hAnsiTheme="minorEastAsia" w:eastAsiaTheme="minorEastAsia"/>
          <w:color w:val="3D3D3D"/>
          <w:sz w:val="22"/>
          <w:szCs w:val="22"/>
          <w:shd w:val="clear" w:color="auto" w:fill="FFFFFF"/>
        </w:rPr>
        <w:t>...................................................................................................................</w:t>
      </w:r>
      <w:r>
        <w:rPr>
          <w:rFonts w:cs="等线" w:asciiTheme="minorEastAsia" w:hAnsiTheme="minorEastAsia" w:eastAsiaTheme="minorEastAsia"/>
          <w:color w:val="3D3D3D"/>
          <w:sz w:val="22"/>
          <w:szCs w:val="22"/>
        </w:rPr>
        <w:t>(</w:t>
      </w:r>
      <w:r>
        <w:rPr>
          <w:rFonts w:hint="eastAsia" w:cs="等线" w:asciiTheme="minorEastAsia" w:hAnsiTheme="minorEastAsia" w:eastAsiaTheme="minorEastAsia"/>
          <w:color w:val="3D3D3D"/>
          <w:sz w:val="22"/>
          <w:szCs w:val="22"/>
          <w:lang w:val="en-US" w:eastAsia="zh-CN"/>
        </w:rPr>
        <w:t>17</w:t>
      </w:r>
      <w:r>
        <w:rPr>
          <w:rFonts w:cs="等线" w:asciiTheme="minorEastAsia" w:hAnsiTheme="minorEastAsia" w:eastAsiaTheme="minorEastAsia"/>
          <w:color w:val="3D3D3D"/>
          <w:sz w:val="22"/>
          <w:szCs w:val="22"/>
        </w:rPr>
        <w:t>)</w:t>
      </w:r>
    </w:p>
    <w:p>
      <w:pPr>
        <w:autoSpaceDE w:val="0"/>
        <w:autoSpaceDN w:val="0"/>
        <w:adjustRightInd w:val="0"/>
        <w:spacing w:line="324" w:lineRule="auto"/>
        <w:ind w:firstLine="643" w:firstLineChars="200"/>
        <w:rPr>
          <w:rFonts w:ascii="黑体" w:eastAsia="黑体" w:cs="黑体"/>
          <w:b/>
          <w:bCs/>
          <w:color w:val="000000"/>
          <w:sz w:val="32"/>
          <w:szCs w:val="32"/>
          <w:highlight w:val="white"/>
        </w:rPr>
      </w:pPr>
      <w:r>
        <w:rPr>
          <w:rFonts w:hint="eastAsia" w:ascii="黑体" w:eastAsia="黑体" w:cs="黑体"/>
          <w:b/>
          <w:bCs/>
          <w:color w:val="000000"/>
          <w:sz w:val="32"/>
          <w:szCs w:val="32"/>
          <w:highlight w:val="white"/>
        </w:rPr>
        <w:t>一、景宁畲族自治县机关事务</w:t>
      </w:r>
      <w:r>
        <w:rPr>
          <w:rFonts w:hint="eastAsia" w:ascii="黑体" w:eastAsia="黑体" w:cs="黑体"/>
          <w:b/>
          <w:bCs/>
          <w:color w:val="000000"/>
          <w:sz w:val="32"/>
          <w:szCs w:val="32"/>
          <w:highlight w:val="white"/>
          <w:lang w:eastAsia="zh-CN"/>
        </w:rPr>
        <w:t>保障中心</w:t>
      </w:r>
      <w:r>
        <w:rPr>
          <w:rFonts w:ascii="黑体" w:eastAsia="黑体" w:cs="黑体"/>
          <w:b/>
          <w:bCs/>
          <w:color w:val="000000"/>
          <w:sz w:val="32"/>
          <w:szCs w:val="32"/>
          <w:highlight w:val="white"/>
        </w:rPr>
        <w:t>(</w:t>
      </w:r>
      <w:r>
        <w:rPr>
          <w:rFonts w:hint="eastAsia" w:ascii="黑体" w:eastAsia="黑体" w:cs="黑体"/>
          <w:b/>
          <w:bCs/>
          <w:color w:val="000000"/>
          <w:sz w:val="32"/>
          <w:szCs w:val="32"/>
          <w:highlight w:val="white"/>
        </w:rPr>
        <w:t>本级</w:t>
      </w:r>
      <w:r>
        <w:rPr>
          <w:rFonts w:ascii="黑体" w:eastAsia="黑体" w:cs="黑体"/>
          <w:b/>
          <w:bCs/>
          <w:color w:val="000000"/>
          <w:sz w:val="32"/>
          <w:szCs w:val="32"/>
          <w:highlight w:val="white"/>
        </w:rPr>
        <w:t>)</w:t>
      </w:r>
      <w:r>
        <w:rPr>
          <w:rFonts w:hint="eastAsia" w:ascii="黑体" w:eastAsia="黑体" w:cs="黑体"/>
          <w:b/>
          <w:bCs/>
          <w:color w:val="000000"/>
          <w:sz w:val="32"/>
          <w:szCs w:val="32"/>
          <w:highlight w:val="white"/>
        </w:rPr>
        <w:t>概况</w:t>
      </w:r>
    </w:p>
    <w:p>
      <w:pPr>
        <w:autoSpaceDE w:val="0"/>
        <w:autoSpaceDN w:val="0"/>
        <w:adjustRightInd w:val="0"/>
        <w:spacing w:line="324" w:lineRule="auto"/>
        <w:ind w:firstLine="594"/>
        <w:rPr>
          <w:rFonts w:ascii="Times New Roman" w:hAnsi="Times New Roman" w:eastAsia="楷体" w:cs="Times New Roman"/>
          <w:b/>
          <w:bCs/>
          <w:color w:val="000000"/>
          <w:sz w:val="32"/>
          <w:szCs w:val="32"/>
          <w:highlight w:val="white"/>
        </w:rPr>
      </w:pPr>
      <w:r>
        <w:rPr>
          <w:rFonts w:hint="eastAsia" w:ascii="楷体" w:eastAsia="楷体" w:cs="楷体"/>
          <w:b/>
          <w:bCs/>
          <w:color w:val="000000"/>
          <w:sz w:val="32"/>
          <w:szCs w:val="32"/>
          <w:highlight w:val="white"/>
        </w:rPr>
        <w:t>（一）部门职责</w:t>
      </w:r>
    </w:p>
    <w:p>
      <w:pPr>
        <w:widowControl/>
        <w:ind w:firstLine="633" w:firstLineChars="198"/>
        <w:rPr>
          <w:rFonts w:ascii="仿宋_GB2312" w:hAnsi="仿宋_GB2312" w:eastAsia="仿宋_GB2312" w:cs="Times New Roman"/>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贯彻执行党和国家有关机关后勤事务工作的方针、政策，结合县级机关的具体情况，研究制定县机关事务管理局行政、后勤事务工作的具体政策和规章制度，并组织实施。</w:t>
      </w:r>
    </w:p>
    <w:p>
      <w:pPr>
        <w:widowControl/>
        <w:ind w:firstLine="633" w:firstLineChars="198"/>
        <w:rPr>
          <w:rFonts w:ascii="仿宋_GB2312" w:hAnsi="仿宋_GB2312" w:eastAsia="仿宋_GB2312" w:cs="Times New Roman"/>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在县委、县政府的领导下，协助县委办、县府办解决机关后勤改革和建设中的共性问题。</w:t>
      </w:r>
      <w:r>
        <w:rPr>
          <w:rFonts w:ascii="仿宋_GB2312" w:hAnsi="仿宋_GB2312" w:eastAsia="仿宋_GB2312" w:cs="仿宋_GB2312"/>
          <w:color w:val="000000"/>
          <w:kern w:val="0"/>
          <w:sz w:val="32"/>
          <w:szCs w:val="32"/>
        </w:rPr>
        <w:t xml:space="preserve"> </w:t>
      </w:r>
    </w:p>
    <w:p>
      <w:pPr>
        <w:widowControl/>
        <w:ind w:firstLine="633" w:firstLineChars="198"/>
        <w:rPr>
          <w:rFonts w:ascii="仿宋_GB2312" w:hAnsi="仿宋_GB2312" w:eastAsia="仿宋_GB2312" w:cs="Times New Roman"/>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负责管辖范围内的行政经费、基建经费、公用经费、接待经费的管理；负责管辖范围内机关单位预算经费管理和预算外资金的管理；编制年度机关财务预算计划和年终财务决算。</w:t>
      </w:r>
    </w:p>
    <w:p>
      <w:pPr>
        <w:widowControl/>
        <w:ind w:firstLine="633" w:firstLineChars="198"/>
        <w:rPr>
          <w:rFonts w:ascii="仿宋_GB2312" w:hAnsi="仿宋_GB2312" w:eastAsia="仿宋_GB2312" w:cs="Times New Roman"/>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负责县委、县政府行政中心房产和附属房产的使用、分配和综合管理；负责领导干部宿舍及临时宿舍等有关房产的产权、产籍和使用管理及修缮维护管理，制定并组织实施有关规章制度；负责县行政中心办公用房等建设的财政预算资金管理和基建工作。</w:t>
      </w:r>
      <w:r>
        <w:rPr>
          <w:rFonts w:ascii="仿宋_GB2312" w:hAnsi="仿宋_GB2312" w:eastAsia="仿宋_GB2312" w:cs="仿宋_GB2312"/>
          <w:color w:val="000000"/>
          <w:kern w:val="0"/>
          <w:sz w:val="32"/>
          <w:szCs w:val="32"/>
        </w:rPr>
        <w:t xml:space="preserve"> </w:t>
      </w:r>
    </w:p>
    <w:p>
      <w:pPr>
        <w:widowControl/>
        <w:ind w:firstLine="633" w:firstLineChars="198"/>
        <w:rPr>
          <w:rFonts w:ascii="仿宋_GB2312" w:hAnsi="仿宋_GB2312" w:eastAsia="仿宋_GB2312" w:cs="Times New Roman"/>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承担县委、县政府下文召开的各类会议的后勤保障工作；</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负责做好县委、县政府内外宾的接待工作；</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负责县委、县政府领导外出考察的后勤服务工作。</w:t>
      </w:r>
      <w:r>
        <w:rPr>
          <w:rFonts w:ascii="仿宋_GB2312" w:hAnsi="仿宋_GB2312" w:eastAsia="仿宋_GB2312" w:cs="仿宋_GB2312"/>
          <w:color w:val="000000"/>
          <w:kern w:val="0"/>
          <w:sz w:val="32"/>
          <w:szCs w:val="32"/>
        </w:rPr>
        <w:t xml:space="preserve"> </w:t>
      </w:r>
    </w:p>
    <w:p>
      <w:pPr>
        <w:widowControl/>
        <w:ind w:firstLine="633" w:firstLineChars="198"/>
        <w:rPr>
          <w:rFonts w:ascii="仿宋_GB2312" w:hAnsi="仿宋_GB2312" w:eastAsia="仿宋_GB2312" w:cs="Times New Roman"/>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负责县级机关办公大院内部及领导干部宿舍的安全保卫、庭院绿化、计划生育、爱国卫生、道路等设施管理工作</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负责机关大院用电、用水的管理工作。</w:t>
      </w:r>
      <w:r>
        <w:rPr>
          <w:rFonts w:ascii="仿宋_GB2312" w:hAnsi="仿宋_GB2312" w:eastAsia="仿宋_GB2312" w:cs="仿宋_GB2312"/>
          <w:color w:val="000000"/>
          <w:kern w:val="0"/>
          <w:sz w:val="32"/>
          <w:szCs w:val="32"/>
        </w:rPr>
        <w:t xml:space="preserve"> </w:t>
      </w:r>
    </w:p>
    <w:p>
      <w:pPr>
        <w:widowControl/>
        <w:ind w:firstLine="633" w:firstLineChars="198"/>
        <w:rPr>
          <w:rFonts w:ascii="仿宋_GB2312" w:hAnsi="仿宋_GB2312" w:eastAsia="仿宋_GB2312" w:cs="Times New Roman"/>
          <w:color w:val="000000"/>
          <w:kern w:val="0"/>
          <w:sz w:val="32"/>
          <w:szCs w:val="32"/>
        </w:rPr>
      </w:pP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负责车辆管理工作、负责有关驾驶员的招聘、调配、培训等工作；建立车辆配备计划、更新等管理制度，并对执行情况进行督促检查；保障县委、县政府领导公务用车、县级重要会议、重大活动的工作用车以及接待用车。</w:t>
      </w:r>
      <w:r>
        <w:rPr>
          <w:rFonts w:ascii="仿宋_GB2312" w:hAnsi="仿宋_GB2312" w:eastAsia="仿宋_GB2312" w:cs="仿宋_GB2312"/>
          <w:color w:val="000000"/>
          <w:kern w:val="0"/>
          <w:sz w:val="32"/>
          <w:szCs w:val="32"/>
        </w:rPr>
        <w:t xml:space="preserve"> </w:t>
      </w:r>
    </w:p>
    <w:p>
      <w:pPr>
        <w:widowControl/>
        <w:ind w:firstLine="633" w:firstLineChars="198"/>
        <w:rPr>
          <w:rFonts w:ascii="仿宋_GB2312" w:hAnsi="仿宋_GB2312" w:eastAsia="仿宋_GB2312" w:cs="Times New Roman"/>
          <w:color w:val="000000"/>
          <w:kern w:val="0"/>
          <w:sz w:val="32"/>
          <w:szCs w:val="32"/>
        </w:rPr>
      </w:pP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负责局内设机构人员的考核、任免工作；承担局内部后勤服务人员的调配、培训、考核等管理工作；做好局机关的党建、精神文明建设、工青妇和纪检监察工作。</w:t>
      </w:r>
    </w:p>
    <w:p>
      <w:pPr>
        <w:widowControl/>
        <w:ind w:firstLine="633" w:firstLineChars="198"/>
        <w:rPr>
          <w:rFonts w:ascii="宋体" w:hAnsi="Calibri" w:eastAsia="宋体" w:cs="Times New Roman"/>
          <w:b/>
          <w:bCs/>
          <w:sz w:val="32"/>
          <w:szCs w:val="32"/>
        </w:rPr>
      </w:pPr>
      <w:r>
        <w:rPr>
          <w:rFonts w:ascii="仿宋_GB2312" w:hAnsi="仿宋_GB2312" w:eastAsia="仿宋_GB2312" w:cs="仿宋_GB2312"/>
          <w:color w:val="000000"/>
          <w:kern w:val="0"/>
          <w:sz w:val="32"/>
          <w:szCs w:val="32"/>
        </w:rPr>
        <w:t>9.</w:t>
      </w:r>
      <w:r>
        <w:rPr>
          <w:rFonts w:hint="eastAsia" w:ascii="仿宋_GB2312" w:hAnsi="仿宋_GB2312" w:eastAsia="仿宋_GB2312" w:cs="仿宋_GB2312"/>
          <w:color w:val="000000"/>
          <w:kern w:val="0"/>
          <w:sz w:val="32"/>
          <w:szCs w:val="32"/>
        </w:rPr>
        <w:t>承办县委、县政府交办的其他事项。</w:t>
      </w:r>
      <w:r>
        <w:rPr>
          <w:rFonts w:ascii="仿宋_GB2312" w:hAnsi="仿宋_GB2312" w:eastAsia="仿宋_GB2312" w:cs="仿宋_GB2312"/>
          <w:color w:val="000000"/>
          <w:kern w:val="0"/>
          <w:sz w:val="32"/>
          <w:szCs w:val="32"/>
        </w:rPr>
        <w:t xml:space="preserve"> </w:t>
      </w:r>
    </w:p>
    <w:p>
      <w:pPr>
        <w:autoSpaceDE w:val="0"/>
        <w:autoSpaceDN w:val="0"/>
        <w:adjustRightInd w:val="0"/>
        <w:spacing w:line="324" w:lineRule="auto"/>
        <w:ind w:firstLine="594"/>
        <w:rPr>
          <w:rFonts w:ascii="Times New Roman" w:hAnsi="Times New Roman" w:eastAsia="楷体" w:cs="Times New Roman"/>
          <w:b/>
          <w:bCs/>
          <w:color w:val="000000"/>
          <w:sz w:val="32"/>
          <w:szCs w:val="32"/>
          <w:highlight w:val="white"/>
        </w:rPr>
      </w:pPr>
      <w:r>
        <w:rPr>
          <w:rFonts w:hint="eastAsia" w:ascii="楷体" w:hAnsi="Times New Roman" w:eastAsia="楷体" w:cs="楷体"/>
          <w:b/>
          <w:bCs/>
          <w:color w:val="000000"/>
          <w:sz w:val="32"/>
          <w:szCs w:val="32"/>
          <w:highlight w:val="white"/>
        </w:rPr>
        <w:t>（二）机构设置</w:t>
      </w:r>
    </w:p>
    <w:p>
      <w:pPr>
        <w:widowControl/>
        <w:ind w:firstLine="633" w:firstLineChars="198"/>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从</w:t>
      </w:r>
      <w:r>
        <w:rPr>
          <w:rFonts w:hint="eastAsia" w:ascii="仿宋_GB2312" w:hAnsi="仿宋_GB2312" w:eastAsia="仿宋_GB2312" w:cs="仿宋_GB2312"/>
          <w:color w:val="000000"/>
          <w:kern w:val="0"/>
          <w:sz w:val="32"/>
          <w:szCs w:val="32"/>
          <w:lang w:eastAsia="zh-CN"/>
        </w:rPr>
        <w:t>决算</w:t>
      </w:r>
      <w:r>
        <w:rPr>
          <w:rFonts w:hint="eastAsia" w:ascii="仿宋_GB2312" w:hAnsi="仿宋_GB2312" w:eastAsia="仿宋_GB2312" w:cs="仿宋_GB2312"/>
          <w:color w:val="000000"/>
          <w:kern w:val="0"/>
          <w:sz w:val="32"/>
          <w:szCs w:val="32"/>
        </w:rPr>
        <w:t>单位构成看，</w:t>
      </w:r>
      <w:r>
        <w:rPr>
          <w:rFonts w:hint="eastAsia" w:ascii="仿宋_GB2312" w:hAnsi="仿宋_GB2312" w:eastAsia="仿宋_GB2312" w:cs="仿宋_GB2312"/>
          <w:color w:val="000000"/>
          <w:kern w:val="0"/>
          <w:sz w:val="32"/>
          <w:szCs w:val="32"/>
          <w:lang w:val="zh-CN"/>
        </w:rPr>
        <w:t>景宁畲族自治县机关事务保障中心(本级)</w:t>
      </w:r>
      <w:r>
        <w:rPr>
          <w:rFonts w:hint="eastAsia" w:ascii="仿宋_GB2312" w:hAnsi="仿宋_GB2312" w:eastAsia="仿宋_GB2312" w:cs="仿宋_GB2312"/>
          <w:color w:val="000000"/>
          <w:kern w:val="0"/>
          <w:sz w:val="32"/>
          <w:szCs w:val="32"/>
        </w:rPr>
        <w:t>部门</w:t>
      </w:r>
      <w:r>
        <w:rPr>
          <w:rFonts w:hint="eastAsia" w:ascii="仿宋_GB2312" w:hAnsi="仿宋_GB2312" w:eastAsia="仿宋_GB2312" w:cs="仿宋_GB2312"/>
          <w:color w:val="000000"/>
          <w:kern w:val="0"/>
          <w:sz w:val="32"/>
          <w:szCs w:val="32"/>
          <w:lang w:eastAsia="zh-CN"/>
        </w:rPr>
        <w:t>决算</w:t>
      </w:r>
      <w:r>
        <w:rPr>
          <w:rFonts w:hint="eastAsia" w:ascii="仿宋_GB2312" w:hAnsi="仿宋_GB2312" w:eastAsia="仿宋_GB2312" w:cs="仿宋_GB2312"/>
          <w:color w:val="000000"/>
          <w:kern w:val="0"/>
          <w:sz w:val="32"/>
          <w:szCs w:val="32"/>
        </w:rPr>
        <w:t>包括：景宁县机关事务</w:t>
      </w:r>
      <w:r>
        <w:rPr>
          <w:rFonts w:hint="eastAsia" w:ascii="仿宋_GB2312" w:hAnsi="仿宋_GB2312" w:eastAsia="仿宋_GB2312" w:cs="仿宋_GB2312"/>
          <w:color w:val="000000"/>
          <w:kern w:val="0"/>
          <w:sz w:val="32"/>
          <w:szCs w:val="32"/>
          <w:lang w:eastAsia="zh-CN"/>
        </w:rPr>
        <w:t>保障中心</w:t>
      </w:r>
      <w:r>
        <w:rPr>
          <w:rFonts w:hint="eastAsia" w:ascii="仿宋_GB2312" w:hAnsi="仿宋_GB2312" w:eastAsia="仿宋_GB2312" w:cs="仿宋_GB2312"/>
          <w:color w:val="000000"/>
          <w:kern w:val="0"/>
          <w:sz w:val="32"/>
          <w:szCs w:val="32"/>
        </w:rPr>
        <w:t>本级决算。</w:t>
      </w:r>
    </w:p>
    <w:p>
      <w:pPr>
        <w:pStyle w:val="2"/>
        <w:rPr>
          <w:rFonts w:hint="default" w:eastAsia="仿宋_GB2312"/>
          <w:lang w:val="en-US" w:eastAsia="zh-CN"/>
        </w:rPr>
      </w:pPr>
      <w:r>
        <w:rPr>
          <w:rFonts w:hint="eastAsia" w:cs="仿宋_GB2312"/>
          <w:color w:val="000000"/>
          <w:kern w:val="0"/>
          <w:sz w:val="32"/>
          <w:szCs w:val="32"/>
          <w:lang w:val="en-US" w:eastAsia="zh-CN"/>
        </w:rPr>
        <w:t xml:space="preserve">    </w:t>
      </w:r>
      <w:r>
        <w:rPr>
          <w:rFonts w:hint="eastAsia" w:ascii="仿宋_GB2312" w:eastAsia="仿宋_GB2312" w:hAnsiTheme="minorHAnsi" w:cstheme="minorBidi"/>
          <w:bCs/>
          <w:color w:val="auto"/>
          <w:kern w:val="2"/>
          <w:sz w:val="32"/>
          <w:szCs w:val="32"/>
          <w:lang w:val="en-US" w:eastAsia="zh-CN" w:bidi="ar-SA"/>
        </w:rPr>
        <w:t>从预算单位构成看，本单位内设：</w:t>
      </w:r>
      <w:r>
        <w:rPr>
          <w:rFonts w:hint="eastAsia" w:hAnsiTheme="minorHAnsi" w:cstheme="minorBidi"/>
          <w:bCs/>
          <w:color w:val="auto"/>
          <w:kern w:val="2"/>
          <w:sz w:val="32"/>
          <w:szCs w:val="32"/>
          <w:lang w:val="en-US" w:eastAsia="zh-CN" w:bidi="ar-SA"/>
        </w:rPr>
        <w:t>办公室、接待科、财务科、保卫科、资产管理科。</w:t>
      </w:r>
    </w:p>
    <w:p>
      <w:pPr>
        <w:spacing w:beforeLines="0" w:afterLines="0" w:line="324" w:lineRule="auto"/>
        <w:ind w:firstLine="643" w:firstLineChars="200"/>
        <w:rPr>
          <w:rFonts w:hint="eastAsia" w:ascii="黑体" w:hAnsi="黑体" w:eastAsia="黑体"/>
          <w:b/>
          <w:color w:val="000000"/>
          <w:sz w:val="32"/>
          <w:highlight w:val="white"/>
          <w:lang w:val="en-US"/>
        </w:rPr>
      </w:pPr>
      <w:r>
        <w:rPr>
          <w:rFonts w:hint="eastAsia" w:ascii="黑体" w:hAnsi="黑体" w:eastAsia="黑体"/>
          <w:b/>
          <w:color w:val="000000"/>
          <w:sz w:val="32"/>
          <w:highlight w:val="white"/>
          <w:lang w:val="en-US"/>
        </w:rPr>
        <w:t>二、2020年度部门决算公开表</w:t>
      </w:r>
    </w:p>
    <w:p>
      <w:pPr>
        <w:spacing w:beforeLines="0" w:afterLines="0" w:line="324" w:lineRule="auto"/>
        <w:ind w:firstLine="594"/>
        <w:rPr>
          <w:rFonts w:hint="default" w:ascii="Times New Roman" w:hAnsi="Times New Roman" w:eastAsia="Times New Roman"/>
          <w:color w:val="000000"/>
          <w:sz w:val="32"/>
          <w:highlight w:val="white"/>
          <w:lang w:val="en-US"/>
        </w:rPr>
      </w:pPr>
      <w:r>
        <w:rPr>
          <w:rFonts w:hint="eastAsia" w:ascii="仿宋" w:hAnsi="仿宋" w:eastAsia="仿宋"/>
          <w:color w:val="000000"/>
          <w:sz w:val="32"/>
          <w:highlight w:val="white"/>
          <w:lang w:val="en-US"/>
        </w:rPr>
        <w:t>详见附表</w:t>
      </w:r>
      <w:r>
        <w:rPr>
          <w:rFonts w:hint="eastAsia" w:ascii="仿宋_GB2312" w:hAnsi="仿宋_GB2312" w:eastAsia="仿宋_GB2312"/>
          <w:color w:val="000000"/>
          <w:sz w:val="32"/>
          <w:highlight w:val="white"/>
          <w:lang w:val="en-US"/>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黑体" w:hAnsi="黑体" w:eastAsia="黑体"/>
          <w:b/>
          <w:color w:val="auto"/>
          <w:sz w:val="32"/>
          <w:highlight w:val="white"/>
          <w:lang w:val="zh-CN"/>
        </w:rPr>
        <w:t>三、</w:t>
      </w:r>
      <w:r>
        <w:rPr>
          <w:rFonts w:hint="eastAsia" w:ascii="黑体" w:hAnsi="黑体" w:eastAsia="黑体"/>
          <w:b/>
          <w:color w:val="000000"/>
          <w:sz w:val="32"/>
          <w:highlight w:val="white"/>
          <w:lang w:val="en-US"/>
        </w:rPr>
        <w:t>2020年度部门决算情况说明</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（一）收入支出决算总体情况说明</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仿宋" w:hAnsi="仿宋" w:eastAsia="仿宋"/>
          <w:color w:val="000000"/>
          <w:sz w:val="32"/>
          <w:highlight w:val="white"/>
          <w:lang w:val="en-US"/>
        </w:rPr>
        <w:t>2020年度收入总计2,272.62万元，支出总计2,272.62万元</w:t>
      </w:r>
      <w:r>
        <w:rPr>
          <w:rFonts w:hint="default" w:ascii="仿宋" w:hAnsi="仿宋" w:eastAsia="仿宋"/>
          <w:color w:val="000000"/>
          <w:sz w:val="32"/>
          <w:highlight w:val="white"/>
        </w:rPr>
        <w:t>，</w:t>
      </w:r>
      <w:r>
        <w:rPr>
          <w:rFonts w:hint="eastAsia" w:ascii="仿宋" w:hAnsi="仿宋" w:eastAsia="仿宋"/>
          <w:color w:val="000000"/>
          <w:sz w:val="32"/>
          <w:highlight w:val="white"/>
          <w:lang w:val="en-US"/>
        </w:rPr>
        <w:t>与2019年度相比，</w:t>
      </w:r>
      <w:r>
        <w:rPr>
          <w:rFonts w:hint="default" w:ascii="仿宋" w:hAnsi="仿宋" w:eastAsia="仿宋"/>
          <w:color w:val="000000"/>
          <w:sz w:val="32"/>
          <w:highlight w:val="white"/>
        </w:rPr>
        <w:t>各</w:t>
      </w:r>
      <w:r>
        <w:rPr>
          <w:rFonts w:hint="eastAsia" w:ascii="仿宋" w:hAnsi="仿宋" w:eastAsia="仿宋"/>
          <w:color w:val="000000"/>
          <w:sz w:val="32"/>
          <w:highlight w:val="white"/>
          <w:lang w:val="en-US"/>
        </w:rPr>
        <w:t>增加</w:t>
      </w:r>
      <w:r>
        <w:rPr>
          <w:rFonts w:hint="eastAsia" w:ascii="仿宋" w:hAnsi="仿宋" w:eastAsia="仿宋"/>
          <w:color w:val="000000"/>
          <w:sz w:val="32"/>
          <w:highlight w:val="white"/>
          <w:lang w:val="en-US" w:eastAsia="zh-CN"/>
        </w:rPr>
        <w:t>603.17</w:t>
      </w:r>
      <w:r>
        <w:rPr>
          <w:rFonts w:hint="eastAsia" w:ascii="仿宋" w:hAnsi="仿宋" w:eastAsia="仿宋"/>
          <w:color w:val="000000"/>
          <w:sz w:val="32"/>
          <w:highlight w:val="white"/>
          <w:lang w:val="en-US"/>
        </w:rPr>
        <w:t>万元，增长</w:t>
      </w:r>
      <w:r>
        <w:rPr>
          <w:rFonts w:hint="eastAsia" w:ascii="仿宋" w:hAnsi="仿宋" w:eastAsia="仿宋"/>
          <w:color w:val="000000"/>
          <w:sz w:val="32"/>
          <w:highlight w:val="white"/>
          <w:lang w:val="en-US" w:eastAsia="zh-CN"/>
        </w:rPr>
        <w:t>36</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增加疫情防控等专项资金</w:t>
      </w:r>
      <w:r>
        <w:rPr>
          <w:rFonts w:hint="eastAsia" w:ascii="仿宋" w:hAnsi="仿宋" w:eastAsia="仿宋"/>
          <w:color w:val="000000"/>
          <w:sz w:val="32"/>
          <w:highlight w:val="white"/>
          <w:lang w:val="en-US"/>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（二）收入决算情况说明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收入合计2,259.42万元；包括财政拨款收入2,117.39万元（其中，一般公共预算2,117.39万元，政府性基金预算0万元,国有资本经营预算0万元），占收入合计93.71%；上级补助收入0万元，占收入合计0%；事业收入0万元，占收入合计0%；经营收入0万元，占收入合计0%；附属单位上缴收入0万元，占收入合计0%；其他收入142.04万元，占收入合计6.29%。</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（三）支出决算情况说明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本年支出合计2,258.72万元，其中基本支出997.62万元，占44.17%；项目支出1,261.09万元，占55.83%；上缴上级支出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万元，占0%；经营支出0万元，占0%；对附属单位补助支出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（四）财政拨款收入支出决算总体情况说明</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2020年度财政拨款收入总计2,117.39万元，支出总计2,117.39万元，与2019年相比，各增加</w:t>
      </w:r>
      <w:r>
        <w:rPr>
          <w:rFonts w:hint="eastAsia" w:ascii="仿宋" w:hAnsi="仿宋" w:eastAsia="仿宋"/>
          <w:color w:val="000000"/>
          <w:sz w:val="32"/>
          <w:highlight w:val="white"/>
          <w:lang w:val="en-US" w:eastAsia="zh-CN"/>
        </w:rPr>
        <w:t>461.13</w:t>
      </w:r>
      <w:r>
        <w:rPr>
          <w:rFonts w:hint="eastAsia" w:ascii="仿宋" w:hAnsi="仿宋" w:eastAsia="仿宋"/>
          <w:color w:val="000000"/>
          <w:sz w:val="32"/>
          <w:highlight w:val="white"/>
          <w:lang w:val="en-US"/>
        </w:rPr>
        <w:t>万元，增长</w:t>
      </w:r>
      <w:r>
        <w:rPr>
          <w:rFonts w:hint="eastAsia" w:ascii="仿宋" w:hAnsi="仿宋" w:eastAsia="仿宋"/>
          <w:color w:val="000000"/>
          <w:sz w:val="32"/>
          <w:highlight w:val="white"/>
          <w:lang w:val="en-US" w:eastAsia="zh-CN"/>
        </w:rPr>
        <w:t>27</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增加疫情防控等专项资金</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财政拨款支出年初预算数</w:t>
      </w:r>
      <w:r>
        <w:rPr>
          <w:rFonts w:hint="eastAsia" w:ascii="仿宋" w:hAnsi="仿宋" w:eastAsia="仿宋"/>
          <w:color w:val="000000"/>
          <w:sz w:val="32"/>
          <w:highlight w:val="white"/>
          <w:lang w:val="en-US" w:eastAsia="zh-CN"/>
        </w:rPr>
        <w:t>1797.77</w:t>
      </w:r>
      <w:r>
        <w:rPr>
          <w:rFonts w:hint="eastAsia" w:ascii="仿宋" w:hAnsi="仿宋" w:eastAsia="仿宋"/>
          <w:color w:val="000000"/>
          <w:sz w:val="32"/>
          <w:highlight w:val="white"/>
          <w:lang w:val="en-US"/>
        </w:rPr>
        <w:t>万元，</w:t>
      </w:r>
      <w:r>
        <w:rPr>
          <w:rFonts w:hint="eastAsia" w:ascii="仿宋" w:hAnsi="仿宋" w:eastAsia="仿宋"/>
          <w:color w:val="auto"/>
          <w:sz w:val="32"/>
          <w:highlight w:val="white"/>
          <w:lang w:val="en-US"/>
        </w:rPr>
        <w:t>完成年初预算的</w:t>
      </w:r>
      <w:r>
        <w:rPr>
          <w:rFonts w:hint="eastAsia" w:ascii="仿宋" w:hAnsi="仿宋" w:eastAsia="仿宋"/>
          <w:color w:val="000000"/>
          <w:sz w:val="32"/>
          <w:highlight w:val="white"/>
          <w:lang w:val="en-US" w:eastAsia="zh-CN"/>
        </w:rPr>
        <w:t>117</w:t>
      </w:r>
      <w:r>
        <w:rPr>
          <w:rFonts w:hint="eastAsia" w:ascii="仿宋" w:hAnsi="仿宋" w:eastAsia="仿宋"/>
          <w:color w:val="000000"/>
          <w:sz w:val="32"/>
          <w:highlight w:val="white"/>
          <w:lang w:val="en-US"/>
        </w:rPr>
        <w:t>%</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主要原因</w:t>
      </w:r>
      <w:r>
        <w:rPr>
          <w:rFonts w:hint="eastAsia" w:ascii="仿宋" w:hAnsi="仿宋" w:eastAsia="仿宋"/>
          <w:color w:val="000000"/>
          <w:sz w:val="32"/>
          <w:highlight w:val="white"/>
          <w:lang w:val="en-US" w:eastAsia="zh-CN"/>
        </w:rPr>
        <w:t>是后期增加防疫资金等专项</w:t>
      </w:r>
      <w:r>
        <w:rPr>
          <w:rFonts w:hint="eastAsia" w:ascii="仿宋" w:hAnsi="仿宋" w:eastAsia="仿宋"/>
          <w:color w:val="auto"/>
          <w:sz w:val="32"/>
          <w:highlight w:val="white"/>
          <w:lang w:val="en-US"/>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（五）一般公共预算财政拨款支出决算情况说明</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1.一般公共预算财政拨款支出决算总体情况。</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2020年度一般公共预算财政拨款支出2,117.39万元，占本年支出合计的93.74%。与2019年相比，一般公共预算财政拨款支出增加</w:t>
      </w:r>
      <w:r>
        <w:rPr>
          <w:rFonts w:hint="eastAsia" w:ascii="仿宋" w:hAnsi="仿宋" w:eastAsia="仿宋"/>
          <w:color w:val="000000"/>
          <w:sz w:val="32"/>
          <w:highlight w:val="white"/>
          <w:lang w:val="en-US" w:eastAsia="zh-CN"/>
        </w:rPr>
        <w:t>461.13</w:t>
      </w:r>
      <w:r>
        <w:rPr>
          <w:rFonts w:hint="eastAsia" w:ascii="仿宋" w:hAnsi="仿宋" w:eastAsia="仿宋"/>
          <w:color w:val="000000"/>
          <w:sz w:val="32"/>
          <w:highlight w:val="white"/>
          <w:lang w:val="en-US"/>
        </w:rPr>
        <w:t>万元，增长</w:t>
      </w:r>
      <w:r>
        <w:rPr>
          <w:rFonts w:hint="eastAsia" w:ascii="仿宋" w:hAnsi="仿宋" w:eastAsia="仿宋"/>
          <w:color w:val="000000"/>
          <w:sz w:val="32"/>
          <w:highlight w:val="white"/>
          <w:lang w:val="en-US" w:eastAsia="zh-CN"/>
        </w:rPr>
        <w:t>27</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增加防疫资金等专项</w:t>
      </w:r>
      <w:r>
        <w:rPr>
          <w:rFonts w:hint="eastAsia" w:ascii="仿宋" w:hAnsi="仿宋" w:eastAsia="仿宋"/>
          <w:color w:val="000000"/>
          <w:sz w:val="32"/>
          <w:highlight w:val="white"/>
          <w:lang w:val="en-US"/>
        </w:rPr>
        <w:t>。</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2.一般公共预算财政拨款支出决算结构情况。</w:t>
      </w:r>
    </w:p>
    <w:p>
      <w:pPr>
        <w:spacing w:beforeLines="0" w:afterLines="0" w:line="324" w:lineRule="auto"/>
        <w:ind w:firstLine="606"/>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2020年度一般公共预算财政拨款支出2,117.39万元，主要用于以下方面：一般公共服务（类）支出</w:t>
      </w:r>
      <w:r>
        <w:rPr>
          <w:rFonts w:hint="eastAsia" w:ascii="仿宋" w:hAnsi="仿宋" w:eastAsia="仿宋"/>
          <w:color w:val="auto"/>
          <w:sz w:val="32"/>
          <w:highlight w:val="white"/>
          <w:lang w:val="zh-CN"/>
        </w:rPr>
        <w:t>1,609.32</w:t>
      </w:r>
      <w:r>
        <w:rPr>
          <w:rFonts w:hint="eastAsia" w:ascii="仿宋" w:hAnsi="仿宋" w:eastAsia="仿宋"/>
          <w:color w:val="000000"/>
          <w:sz w:val="32"/>
          <w:highlight w:val="white"/>
          <w:lang w:val="en-US"/>
        </w:rPr>
        <w:t>万元，占76.01%；国防（类）支出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万元,占0%；公共安全（类）支出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万元,占0%；教育（类）支出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万元,占0%；科学技术（类）支出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万元,占0%；文化旅游体育与传媒（类）支出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万元,占0%；社会保障和就业（类）支出</w:t>
      </w:r>
      <w:r>
        <w:rPr>
          <w:rFonts w:hint="eastAsia" w:ascii="仿宋" w:hAnsi="仿宋" w:eastAsia="仿宋"/>
          <w:color w:val="auto"/>
          <w:sz w:val="32"/>
          <w:highlight w:val="white"/>
          <w:lang w:val="zh-CN"/>
        </w:rPr>
        <w:t>82.05</w:t>
      </w:r>
      <w:r>
        <w:rPr>
          <w:rFonts w:hint="eastAsia" w:ascii="仿宋" w:hAnsi="仿宋" w:eastAsia="仿宋"/>
          <w:color w:val="000000"/>
          <w:sz w:val="32"/>
          <w:highlight w:val="white"/>
          <w:lang w:val="en-US"/>
        </w:rPr>
        <w:t>万元,占3.87%；卫生健康（类）支出</w:t>
      </w:r>
      <w:r>
        <w:rPr>
          <w:rFonts w:hint="eastAsia" w:ascii="仿宋" w:hAnsi="仿宋" w:eastAsia="仿宋"/>
          <w:color w:val="auto"/>
          <w:sz w:val="32"/>
          <w:highlight w:val="white"/>
          <w:lang w:val="zh-CN"/>
        </w:rPr>
        <w:t>388.04</w:t>
      </w:r>
      <w:r>
        <w:rPr>
          <w:rFonts w:hint="eastAsia" w:ascii="仿宋" w:hAnsi="仿宋" w:eastAsia="仿宋"/>
          <w:color w:val="000000"/>
          <w:sz w:val="32"/>
          <w:highlight w:val="white"/>
          <w:lang w:val="en-US"/>
        </w:rPr>
        <w:t>万元,占18.33%；节能环保（类）支出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万元,占0%；城乡社区（类）支出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万元,占0%；农林水（类）支出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万元,占0%；交通运输（类）支出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万元,占0%；资源勘探工业信息等（类）支出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万元,占0%；商业服务业等（类）支出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万元,占0%；金融（类）支出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万元,占0%；援助其他地区（类）支出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万元,占0%；自然资源海洋气象等（类）支出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万元,占0%；住房保障（类）支出</w:t>
      </w:r>
      <w:r>
        <w:rPr>
          <w:rFonts w:hint="eastAsia" w:ascii="仿宋" w:hAnsi="仿宋" w:eastAsia="仿宋"/>
          <w:color w:val="auto"/>
          <w:sz w:val="32"/>
          <w:highlight w:val="white"/>
          <w:lang w:val="zh-CN"/>
        </w:rPr>
        <w:t>37.98</w:t>
      </w:r>
      <w:r>
        <w:rPr>
          <w:rFonts w:hint="eastAsia" w:ascii="仿宋" w:hAnsi="仿宋" w:eastAsia="仿宋"/>
          <w:color w:val="000000"/>
          <w:sz w:val="32"/>
          <w:highlight w:val="white"/>
          <w:lang w:val="en-US"/>
        </w:rPr>
        <w:t>万元,占1.79%；粮油物资储备（类）支出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万元,占0%；灾害防治及应急管理（类）支出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万元,占0%；其他（类）支出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万元,占0%；债务还本（类）支出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万元,占0%；债务付息（类）支出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3.一般公共预算财政拨款支出决算具体情况。</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color w:val="auto"/>
          <w:sz w:val="32"/>
          <w:highlight w:val="white"/>
          <w:lang w:val="en-US"/>
        </w:rPr>
        <w:t>2020年度</w:t>
      </w:r>
      <w:r>
        <w:rPr>
          <w:rFonts w:hint="eastAsia" w:ascii="仿宋" w:hAnsi="仿宋" w:eastAsia="仿宋"/>
          <w:color w:val="000000"/>
          <w:sz w:val="32"/>
          <w:highlight w:val="white"/>
          <w:lang w:val="en-US"/>
        </w:rPr>
        <w:t>一般公共预算</w:t>
      </w:r>
      <w:r>
        <w:rPr>
          <w:rFonts w:hint="eastAsia" w:ascii="仿宋" w:hAnsi="仿宋" w:eastAsia="仿宋"/>
          <w:color w:val="auto"/>
          <w:sz w:val="32"/>
          <w:highlight w:val="white"/>
          <w:lang w:val="en-US"/>
        </w:rPr>
        <w:t>财政拨款支出年初预算为</w:t>
      </w:r>
      <w:r>
        <w:rPr>
          <w:rFonts w:hint="eastAsia" w:ascii="仿宋" w:hAnsi="仿宋" w:eastAsia="仿宋"/>
          <w:color w:val="000000"/>
          <w:sz w:val="32"/>
          <w:highlight w:val="white"/>
          <w:lang w:val="en-US" w:eastAsia="zh-CN"/>
        </w:rPr>
        <w:t>1797.77</w:t>
      </w:r>
      <w:r>
        <w:rPr>
          <w:rFonts w:hint="eastAsia" w:ascii="仿宋" w:hAnsi="仿宋" w:eastAsia="仿宋"/>
          <w:color w:val="auto"/>
          <w:sz w:val="32"/>
          <w:highlight w:val="white"/>
          <w:lang w:val="en-US"/>
        </w:rPr>
        <w:t>万元，支出决算为</w:t>
      </w:r>
      <w:r>
        <w:rPr>
          <w:rFonts w:hint="eastAsia" w:ascii="仿宋" w:hAnsi="仿宋" w:eastAsia="仿宋"/>
          <w:color w:val="000000"/>
          <w:sz w:val="32"/>
          <w:highlight w:val="white"/>
          <w:lang w:val="en-US"/>
        </w:rPr>
        <w:t>2,117.39万元</w:t>
      </w:r>
      <w:r>
        <w:rPr>
          <w:rFonts w:hint="eastAsia" w:ascii="仿宋" w:hAnsi="仿宋" w:eastAsia="仿宋"/>
          <w:color w:val="auto"/>
          <w:sz w:val="32"/>
          <w:highlight w:val="white"/>
          <w:lang w:val="en-US"/>
        </w:rPr>
        <w:t>,完成年初预算的</w:t>
      </w:r>
      <w:r>
        <w:rPr>
          <w:rFonts w:hint="eastAsia" w:ascii="仿宋" w:hAnsi="仿宋" w:eastAsia="仿宋"/>
          <w:color w:val="000000"/>
          <w:sz w:val="32"/>
          <w:highlight w:val="white"/>
          <w:lang w:val="en-US" w:eastAsia="zh-CN"/>
        </w:rPr>
        <w:t>117</w:t>
      </w:r>
      <w:r>
        <w:rPr>
          <w:rFonts w:hint="eastAsia" w:ascii="仿宋" w:hAnsi="仿宋" w:eastAsia="仿宋"/>
          <w:color w:val="000000"/>
          <w:sz w:val="32"/>
          <w:highlight w:val="white"/>
          <w:lang w:val="en-US"/>
        </w:rPr>
        <w:t>%</w:t>
      </w:r>
      <w:r>
        <w:rPr>
          <w:rFonts w:hint="eastAsia" w:ascii="仿宋" w:hAnsi="仿宋" w:eastAsia="仿宋"/>
          <w:color w:val="auto"/>
          <w:sz w:val="32"/>
          <w:highlight w:val="white"/>
          <w:lang w:val="en-US"/>
        </w:rPr>
        <w:t>，主要原因是</w:t>
      </w:r>
      <w:r>
        <w:rPr>
          <w:rFonts w:hint="eastAsia" w:ascii="仿宋" w:hAnsi="仿宋" w:eastAsia="仿宋"/>
          <w:color w:val="000000"/>
          <w:sz w:val="32"/>
          <w:highlight w:val="white"/>
          <w:lang w:val="en-US" w:eastAsia="zh-CN"/>
        </w:rPr>
        <w:t>增加防疫资金等专项</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其中：</w:t>
      </w:r>
    </w:p>
    <w:p>
      <w:pPr>
        <w:autoSpaceDE w:val="0"/>
        <w:autoSpaceDN w:val="0"/>
        <w:adjustRightInd w:val="0"/>
        <w:spacing w:line="324" w:lineRule="auto"/>
        <w:ind w:firstLine="594"/>
        <w:rPr>
          <w:rFonts w:hint="eastAsia" w:ascii="仿宋" w:hAnsi="Times New Roman" w:eastAsia="仿宋" w:cs="仿宋"/>
          <w:color w:val="000000"/>
          <w:sz w:val="32"/>
          <w:szCs w:val="32"/>
          <w:highlight w:val="white"/>
          <w:lang w:eastAsia="zh-CN"/>
        </w:rPr>
      </w:pPr>
      <w:r>
        <w:rPr>
          <w:rFonts w:hint="eastAsia" w:ascii="仿宋" w:hAnsi="Times New Roman" w:eastAsia="仿宋" w:cs="仿宋"/>
          <w:color w:val="000000"/>
          <w:sz w:val="32"/>
          <w:szCs w:val="32"/>
        </w:rPr>
        <w:t>一般公共服务支出</w:t>
      </w:r>
      <w:r>
        <w:rPr>
          <w:rFonts w:hint="eastAsia" w:ascii="仿宋" w:hAnsi="Times New Roman" w:eastAsia="仿宋" w:cs="仿宋"/>
          <w:color w:val="000000"/>
          <w:sz w:val="32"/>
          <w:szCs w:val="32"/>
          <w:highlight w:val="white"/>
        </w:rPr>
        <w:t>（类）</w:t>
      </w:r>
      <w:r>
        <w:rPr>
          <w:rFonts w:hint="eastAsia" w:ascii="仿宋" w:hAnsi="Times New Roman" w:eastAsia="仿宋" w:cs="仿宋"/>
          <w:color w:val="000000"/>
          <w:sz w:val="32"/>
          <w:szCs w:val="32"/>
        </w:rPr>
        <w:t>政府办公厅（室）及相关机构事务</w:t>
      </w:r>
      <w:r>
        <w:rPr>
          <w:rFonts w:hint="eastAsia" w:ascii="仿宋" w:hAnsi="Times New Roman" w:eastAsia="仿宋" w:cs="仿宋"/>
          <w:color w:val="000000"/>
          <w:sz w:val="32"/>
          <w:szCs w:val="32"/>
          <w:highlight w:val="white"/>
        </w:rPr>
        <w:t>（款）</w:t>
      </w:r>
      <w:r>
        <w:rPr>
          <w:rFonts w:hint="eastAsia" w:ascii="仿宋" w:hAnsi="Times New Roman" w:eastAsia="仿宋" w:cs="仿宋"/>
          <w:color w:val="000000"/>
          <w:sz w:val="32"/>
          <w:szCs w:val="32"/>
        </w:rPr>
        <w:t>行政运行</w:t>
      </w:r>
      <w:r>
        <w:rPr>
          <w:rFonts w:hint="eastAsia" w:ascii="仿宋" w:hAnsi="Times New Roman" w:eastAsia="仿宋" w:cs="仿宋"/>
          <w:color w:val="000000"/>
          <w:sz w:val="32"/>
          <w:szCs w:val="32"/>
          <w:highlight w:val="white"/>
        </w:rPr>
        <w:t>（项）。年初预算为</w:t>
      </w:r>
      <w:r>
        <w:rPr>
          <w:rFonts w:hint="eastAsia" w:ascii="仿宋" w:hAnsi="Times New Roman" w:eastAsia="仿宋" w:cs="仿宋"/>
          <w:color w:val="000000"/>
          <w:sz w:val="32"/>
          <w:szCs w:val="32"/>
          <w:highlight w:val="white"/>
          <w:lang w:val="en-US" w:eastAsia="zh-CN"/>
        </w:rPr>
        <w:t xml:space="preserve">221.29 </w:t>
      </w:r>
      <w:r>
        <w:rPr>
          <w:rFonts w:hint="eastAsia" w:ascii="仿宋" w:hAnsi="Times New Roman" w:eastAsia="仿宋" w:cs="仿宋"/>
          <w:color w:val="000000"/>
          <w:sz w:val="32"/>
          <w:szCs w:val="32"/>
          <w:highlight w:val="white"/>
        </w:rPr>
        <w:t>万元，支出决算为</w:t>
      </w:r>
      <w:r>
        <w:rPr>
          <w:rFonts w:hint="eastAsia" w:ascii="仿宋" w:hAnsi="Times New Roman" w:eastAsia="仿宋" w:cs="仿宋"/>
          <w:color w:val="000000"/>
          <w:sz w:val="32"/>
          <w:szCs w:val="32"/>
          <w:highlight w:val="white"/>
          <w:lang w:val="en-US" w:eastAsia="zh-CN"/>
        </w:rPr>
        <w:t>288.32</w:t>
      </w:r>
      <w:r>
        <w:rPr>
          <w:rFonts w:hint="eastAsia" w:ascii="仿宋" w:hAnsi="Times New Roman" w:eastAsia="仿宋" w:cs="仿宋"/>
          <w:color w:val="000000"/>
          <w:sz w:val="32"/>
          <w:szCs w:val="32"/>
          <w:highlight w:val="white"/>
        </w:rPr>
        <w:t>万元，完成年初预算的</w:t>
      </w:r>
      <w:r>
        <w:rPr>
          <w:rFonts w:hint="eastAsia" w:ascii="仿宋" w:hAnsi="Times New Roman" w:eastAsia="仿宋" w:cs="仿宋"/>
          <w:color w:val="000000"/>
          <w:sz w:val="32"/>
          <w:szCs w:val="32"/>
          <w:highlight w:val="white"/>
          <w:lang w:val="en-US" w:eastAsia="zh-CN"/>
        </w:rPr>
        <w:t>130.29</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，决算数大于预算数的主要原因</w:t>
      </w:r>
      <w:r>
        <w:rPr>
          <w:rFonts w:hint="eastAsia" w:ascii="仿宋" w:hAnsi="Times New Roman" w:eastAsia="仿宋" w:cs="仿宋"/>
          <w:color w:val="000000"/>
          <w:sz w:val="32"/>
          <w:szCs w:val="32"/>
          <w:highlight w:val="white"/>
          <w:lang w:eastAsia="zh-CN"/>
        </w:rPr>
        <w:t>新录用公务员增加，</w:t>
      </w:r>
      <w:r>
        <w:rPr>
          <w:rFonts w:hint="eastAsia" w:ascii="仿宋" w:hAnsi="Times New Roman" w:eastAsia="仿宋" w:cs="仿宋"/>
          <w:color w:val="000000"/>
          <w:sz w:val="32"/>
          <w:szCs w:val="32"/>
          <w:highlight w:val="white"/>
        </w:rPr>
        <w:t>随之</w:t>
      </w:r>
      <w:r>
        <w:rPr>
          <w:rFonts w:hint="eastAsia" w:ascii="仿宋" w:hAnsi="仿宋" w:eastAsia="仿宋"/>
          <w:color w:val="000000"/>
          <w:sz w:val="32"/>
          <w:highlight w:val="white"/>
        </w:rPr>
        <w:t>工资等增加</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一般公共服务支出</w:t>
      </w:r>
      <w:r>
        <w:rPr>
          <w:rFonts w:hint="eastAsia" w:ascii="仿宋" w:hAnsi="Times New Roman" w:eastAsia="仿宋" w:cs="仿宋"/>
          <w:color w:val="000000"/>
          <w:sz w:val="32"/>
          <w:szCs w:val="32"/>
          <w:highlight w:val="white"/>
        </w:rPr>
        <w:t>（类）</w:t>
      </w:r>
      <w:r>
        <w:rPr>
          <w:rFonts w:hint="eastAsia" w:ascii="仿宋" w:hAnsi="Times New Roman" w:eastAsia="仿宋" w:cs="仿宋"/>
          <w:color w:val="000000"/>
          <w:sz w:val="32"/>
          <w:szCs w:val="32"/>
        </w:rPr>
        <w:t>政府办公厅（室）及相关机构事务</w:t>
      </w:r>
      <w:r>
        <w:rPr>
          <w:rFonts w:hint="eastAsia" w:ascii="仿宋" w:hAnsi="Times New Roman" w:eastAsia="仿宋" w:cs="仿宋"/>
          <w:color w:val="000000"/>
          <w:sz w:val="32"/>
          <w:szCs w:val="32"/>
          <w:highlight w:val="white"/>
        </w:rPr>
        <w:t>（款）</w:t>
      </w:r>
      <w:r>
        <w:rPr>
          <w:rFonts w:hint="eastAsia" w:ascii="仿宋" w:hAnsi="Times New Roman" w:eastAsia="仿宋" w:cs="仿宋"/>
          <w:color w:val="000000"/>
          <w:sz w:val="32"/>
          <w:szCs w:val="32"/>
        </w:rPr>
        <w:t xml:space="preserve"> 一般行政管理事务</w:t>
      </w:r>
      <w:r>
        <w:rPr>
          <w:rFonts w:hint="eastAsia" w:ascii="仿宋" w:hAnsi="Times New Roman" w:eastAsia="仿宋" w:cs="仿宋"/>
          <w:color w:val="000000"/>
          <w:sz w:val="32"/>
          <w:szCs w:val="32"/>
          <w:highlight w:val="white"/>
        </w:rPr>
        <w:t>（项）。年初预算为</w:t>
      </w:r>
      <w:r>
        <w:rPr>
          <w:rFonts w:hint="eastAsia" w:ascii="仿宋" w:hAnsi="Times New Roman" w:eastAsia="仿宋" w:cs="仿宋"/>
          <w:color w:val="000000"/>
          <w:sz w:val="32"/>
          <w:szCs w:val="32"/>
          <w:highlight w:val="white"/>
          <w:lang w:val="en-US" w:eastAsia="zh-CN"/>
        </w:rPr>
        <w:t xml:space="preserve">1260 </w:t>
      </w:r>
      <w:r>
        <w:rPr>
          <w:rFonts w:hint="eastAsia" w:ascii="仿宋" w:hAnsi="Times New Roman" w:eastAsia="仿宋" w:cs="仿宋"/>
          <w:color w:val="000000"/>
          <w:sz w:val="32"/>
          <w:szCs w:val="32"/>
          <w:highlight w:val="white"/>
        </w:rPr>
        <w:t>万元，支出决算为</w:t>
      </w:r>
      <w:r>
        <w:rPr>
          <w:rFonts w:hint="eastAsia" w:ascii="仿宋" w:hAnsi="Times New Roman" w:eastAsia="仿宋" w:cs="仿宋"/>
          <w:color w:val="000000"/>
          <w:sz w:val="32"/>
          <w:szCs w:val="32"/>
          <w:highlight w:val="white"/>
          <w:lang w:val="en-US" w:eastAsia="zh-CN"/>
        </w:rPr>
        <w:t>1119.77</w:t>
      </w:r>
      <w:r>
        <w:rPr>
          <w:rFonts w:hint="eastAsia" w:ascii="仿宋" w:hAnsi="Times New Roman" w:eastAsia="仿宋" w:cs="仿宋"/>
          <w:color w:val="000000"/>
          <w:sz w:val="32"/>
          <w:szCs w:val="32"/>
          <w:highlight w:val="white"/>
        </w:rPr>
        <w:t>万元，完成年初预算的</w:t>
      </w:r>
      <w:r>
        <w:rPr>
          <w:rFonts w:hint="eastAsia" w:ascii="仿宋" w:hAnsi="Times New Roman" w:eastAsia="仿宋" w:cs="仿宋"/>
          <w:color w:val="000000"/>
          <w:sz w:val="32"/>
          <w:szCs w:val="32"/>
          <w:highlight w:val="white"/>
          <w:lang w:val="en-US" w:eastAsia="zh-CN"/>
        </w:rPr>
        <w:t>88.87</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，决算数</w:t>
      </w:r>
      <w:r>
        <w:rPr>
          <w:rFonts w:hint="eastAsia" w:ascii="仿宋" w:hAnsi="Times New Roman" w:eastAsia="仿宋" w:cs="仿宋"/>
          <w:color w:val="000000"/>
          <w:sz w:val="32"/>
          <w:szCs w:val="32"/>
          <w:highlight w:val="white"/>
          <w:lang w:val="en-US" w:eastAsia="zh-CN"/>
        </w:rPr>
        <w:t>小</w:t>
      </w:r>
      <w:r>
        <w:rPr>
          <w:rFonts w:hint="eastAsia" w:ascii="仿宋" w:hAnsi="Times New Roman" w:eastAsia="仿宋" w:cs="仿宋"/>
          <w:color w:val="000000"/>
          <w:sz w:val="32"/>
          <w:szCs w:val="32"/>
          <w:highlight w:val="white"/>
        </w:rPr>
        <w:t>于预算数的主要原因</w:t>
      </w:r>
      <w:r>
        <w:rPr>
          <w:rFonts w:hint="eastAsia" w:ascii="仿宋" w:hAnsi="仿宋" w:eastAsia="仿宋"/>
          <w:color w:val="000000"/>
          <w:sz w:val="32"/>
        </w:rPr>
        <w:t>严格按照规定开支，部分结余未支出</w:t>
      </w:r>
      <w:r>
        <w:rPr>
          <w:rFonts w:hint="eastAsia" w:ascii="仿宋" w:hAnsi="Times New Roman" w:eastAsia="仿宋" w:cs="仿宋"/>
          <w:color w:val="000000"/>
          <w:sz w:val="32"/>
          <w:szCs w:val="32"/>
        </w:rPr>
        <w:t>。</w:t>
      </w:r>
    </w:p>
    <w:p>
      <w:pPr>
        <w:spacing w:beforeLines="0" w:afterLines="0" w:line="324" w:lineRule="auto"/>
        <w:ind w:firstLine="594"/>
        <w:rPr>
          <w:rFonts w:hint="eastAsia" w:ascii="仿宋" w:hAnsi="仿宋" w:eastAsia="仿宋"/>
          <w:color w:val="000000"/>
          <w:sz w:val="32"/>
          <w:highlight w:val="white"/>
        </w:rPr>
      </w:pPr>
      <w:bookmarkStart w:id="0" w:name="_GoBack"/>
      <w:bookmarkEnd w:id="0"/>
      <w:r>
        <w:rPr>
          <w:rFonts w:hint="eastAsia" w:ascii="仿宋" w:hAnsi="Times New Roman" w:eastAsia="仿宋" w:cs="仿宋"/>
          <w:color w:val="000000"/>
          <w:sz w:val="32"/>
          <w:szCs w:val="32"/>
        </w:rPr>
        <w:t>一般公共服务支出</w:t>
      </w:r>
      <w:r>
        <w:rPr>
          <w:rFonts w:hint="eastAsia" w:ascii="仿宋" w:hAnsi="Times New Roman" w:eastAsia="仿宋" w:cs="仿宋"/>
          <w:color w:val="000000"/>
          <w:sz w:val="32"/>
          <w:szCs w:val="32"/>
          <w:highlight w:val="white"/>
        </w:rPr>
        <w:t>（类）</w:t>
      </w:r>
      <w:r>
        <w:rPr>
          <w:rFonts w:hint="eastAsia" w:ascii="仿宋" w:hAnsi="Times New Roman" w:eastAsia="仿宋" w:cs="仿宋"/>
          <w:color w:val="000000"/>
          <w:sz w:val="32"/>
          <w:szCs w:val="32"/>
        </w:rPr>
        <w:t>政府办公厅（室）及相关机构事务</w:t>
      </w:r>
      <w:r>
        <w:rPr>
          <w:rFonts w:hint="eastAsia" w:ascii="仿宋" w:hAnsi="Times New Roman" w:eastAsia="仿宋" w:cs="仿宋"/>
          <w:color w:val="000000"/>
          <w:sz w:val="32"/>
          <w:szCs w:val="32"/>
          <w:highlight w:val="white"/>
        </w:rPr>
        <w:t>（款）</w:t>
      </w:r>
      <w:r>
        <w:rPr>
          <w:rFonts w:hint="eastAsia" w:ascii="仿宋" w:hAnsi="Times New Roman" w:eastAsia="仿宋" w:cs="仿宋"/>
          <w:color w:val="000000"/>
          <w:sz w:val="32"/>
          <w:szCs w:val="32"/>
        </w:rPr>
        <w:t>事业运行</w:t>
      </w:r>
      <w:r>
        <w:rPr>
          <w:rFonts w:hint="eastAsia" w:ascii="仿宋" w:hAnsi="Times New Roman" w:eastAsia="仿宋" w:cs="仿宋"/>
          <w:color w:val="000000"/>
          <w:sz w:val="32"/>
          <w:szCs w:val="32"/>
          <w:highlight w:val="white"/>
        </w:rPr>
        <w:t>（项）。年初预算为</w:t>
      </w:r>
      <w:r>
        <w:rPr>
          <w:rFonts w:hint="eastAsia" w:ascii="仿宋" w:hAnsi="Times New Roman" w:eastAsia="仿宋" w:cs="仿宋"/>
          <w:color w:val="000000"/>
          <w:sz w:val="32"/>
          <w:szCs w:val="32"/>
          <w:highlight w:val="white"/>
          <w:lang w:val="en-US" w:eastAsia="zh-CN"/>
        </w:rPr>
        <w:t xml:space="preserve"> 172.79</w:t>
      </w:r>
      <w:r>
        <w:rPr>
          <w:rFonts w:hint="eastAsia" w:ascii="仿宋" w:hAnsi="Times New Roman" w:eastAsia="仿宋" w:cs="仿宋"/>
          <w:color w:val="000000"/>
          <w:sz w:val="32"/>
          <w:szCs w:val="32"/>
          <w:highlight w:val="white"/>
        </w:rPr>
        <w:t>万元，支出决算</w:t>
      </w:r>
      <w:r>
        <w:rPr>
          <w:rFonts w:hint="eastAsia" w:ascii="仿宋" w:hAnsi="仿宋" w:eastAsia="仿宋"/>
          <w:color w:val="000000"/>
          <w:sz w:val="32"/>
          <w:highlight w:val="white"/>
        </w:rPr>
        <w:t>为</w:t>
      </w:r>
      <w:r>
        <w:rPr>
          <w:rFonts w:hint="eastAsia" w:ascii="仿宋" w:hAnsi="仿宋" w:eastAsia="仿宋"/>
          <w:color w:val="000000"/>
          <w:sz w:val="32"/>
          <w:highlight w:val="white"/>
          <w:lang w:val="en-US" w:eastAsia="zh-CN"/>
        </w:rPr>
        <w:t>201.24</w:t>
      </w:r>
      <w:r>
        <w:rPr>
          <w:rFonts w:hint="eastAsia" w:ascii="仿宋" w:hAnsi="仿宋" w:eastAsia="仿宋"/>
          <w:color w:val="000000"/>
          <w:sz w:val="32"/>
          <w:highlight w:val="white"/>
        </w:rPr>
        <w:t xml:space="preserve"> 万元，完成年初预算的</w:t>
      </w:r>
      <w:r>
        <w:rPr>
          <w:rFonts w:hint="eastAsia" w:ascii="仿宋" w:hAnsi="仿宋" w:eastAsia="仿宋"/>
          <w:color w:val="000000"/>
          <w:sz w:val="32"/>
          <w:highlight w:val="white"/>
          <w:lang w:val="en-US" w:eastAsia="zh-CN"/>
        </w:rPr>
        <w:t>116</w:t>
      </w:r>
      <w:r>
        <w:rPr>
          <w:rFonts w:ascii="仿宋" w:hAnsi="仿宋" w:eastAsia="仿宋"/>
          <w:color w:val="000000"/>
          <w:sz w:val="32"/>
          <w:highlight w:val="white"/>
        </w:rPr>
        <w:t>%</w:t>
      </w:r>
      <w:r>
        <w:rPr>
          <w:rFonts w:hint="eastAsia" w:ascii="仿宋" w:hAnsi="仿宋" w:eastAsia="仿宋"/>
          <w:color w:val="000000"/>
          <w:sz w:val="32"/>
          <w:highlight w:val="white"/>
        </w:rPr>
        <w:t>，决算数</w:t>
      </w:r>
      <w:r>
        <w:rPr>
          <w:rFonts w:hint="eastAsia" w:ascii="仿宋" w:hAnsi="仿宋" w:eastAsia="仿宋"/>
          <w:color w:val="000000"/>
          <w:sz w:val="32"/>
          <w:highlight w:val="white"/>
          <w:lang w:eastAsia="zh-CN"/>
        </w:rPr>
        <w:t>大</w:t>
      </w:r>
      <w:r>
        <w:rPr>
          <w:rFonts w:hint="eastAsia" w:ascii="仿宋" w:hAnsi="仿宋" w:eastAsia="仿宋"/>
          <w:color w:val="000000"/>
          <w:sz w:val="32"/>
          <w:highlight w:val="white"/>
        </w:rPr>
        <w:t>于预算数的主要原因</w:t>
      </w:r>
      <w:r>
        <w:rPr>
          <w:rFonts w:hint="eastAsia" w:ascii="仿宋" w:hAnsi="仿宋" w:eastAsia="仿宋"/>
          <w:color w:val="000000"/>
          <w:sz w:val="32"/>
          <w:highlight w:val="white"/>
          <w:lang w:eastAsia="zh-CN"/>
        </w:rPr>
        <w:t>新增事业人员及薪资晋升等工资增加</w:t>
      </w:r>
      <w:r>
        <w:rPr>
          <w:rFonts w:hint="eastAsia" w:ascii="仿宋" w:hAnsi="仿宋" w:eastAsia="仿宋"/>
          <w:color w:val="000000"/>
          <w:sz w:val="32"/>
          <w:highlight w:val="white"/>
        </w:rPr>
        <w:t>。</w:t>
      </w:r>
    </w:p>
    <w:p>
      <w:pPr>
        <w:autoSpaceDE w:val="0"/>
        <w:autoSpaceDN w:val="0"/>
        <w:adjustRightInd w:val="0"/>
        <w:spacing w:line="324" w:lineRule="auto"/>
        <w:ind w:firstLine="594"/>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社会保障和就业支出</w:t>
      </w:r>
      <w:r>
        <w:rPr>
          <w:rFonts w:hint="eastAsia" w:ascii="仿宋" w:hAnsi="Times New Roman" w:eastAsia="仿宋" w:cs="仿宋"/>
          <w:color w:val="000000"/>
          <w:sz w:val="32"/>
          <w:szCs w:val="32"/>
          <w:highlight w:val="white"/>
        </w:rPr>
        <w:t>（类）</w:t>
      </w:r>
      <w:r>
        <w:rPr>
          <w:rFonts w:hint="eastAsia" w:ascii="仿宋" w:hAnsi="Times New Roman" w:eastAsia="仿宋" w:cs="仿宋"/>
          <w:color w:val="000000"/>
          <w:sz w:val="32"/>
          <w:szCs w:val="32"/>
        </w:rPr>
        <w:t>行政事业单位离退休</w:t>
      </w:r>
      <w:r>
        <w:rPr>
          <w:rFonts w:hint="eastAsia" w:ascii="仿宋" w:hAnsi="Times New Roman" w:eastAsia="仿宋" w:cs="仿宋"/>
          <w:color w:val="000000"/>
          <w:sz w:val="32"/>
          <w:szCs w:val="32"/>
          <w:highlight w:val="white"/>
        </w:rPr>
        <w:t>（款）</w:t>
      </w:r>
      <w:r>
        <w:rPr>
          <w:rFonts w:hint="eastAsia" w:ascii="仿宋" w:hAnsi="Times New Roman" w:eastAsia="仿宋" w:cs="仿宋"/>
          <w:color w:val="000000"/>
          <w:sz w:val="32"/>
          <w:szCs w:val="32"/>
          <w:lang w:eastAsia="zh-CN"/>
        </w:rPr>
        <w:t>行政单位离退休</w:t>
      </w:r>
      <w:r>
        <w:rPr>
          <w:rFonts w:hint="eastAsia" w:ascii="仿宋" w:hAnsi="Times New Roman" w:eastAsia="仿宋" w:cs="仿宋"/>
          <w:color w:val="000000"/>
          <w:sz w:val="32"/>
          <w:szCs w:val="32"/>
          <w:highlight w:val="white"/>
        </w:rPr>
        <w:t>（项）。年初预算为</w:t>
      </w:r>
      <w:r>
        <w:rPr>
          <w:rFonts w:hint="eastAsia" w:ascii="仿宋" w:hAnsi="Times New Roman" w:eastAsia="仿宋" w:cs="仿宋"/>
          <w:color w:val="000000"/>
          <w:sz w:val="32"/>
          <w:szCs w:val="32"/>
          <w:highlight w:val="white"/>
          <w:lang w:val="en-US" w:eastAsia="zh-CN"/>
        </w:rPr>
        <w:t>42.2</w:t>
      </w:r>
      <w:r>
        <w:rPr>
          <w:rFonts w:hint="eastAsia" w:ascii="仿宋" w:hAnsi="Times New Roman" w:eastAsia="仿宋" w:cs="仿宋"/>
          <w:color w:val="000000"/>
          <w:sz w:val="32"/>
          <w:szCs w:val="32"/>
          <w:highlight w:val="white"/>
        </w:rPr>
        <w:t>万元，支出决算为</w:t>
      </w:r>
      <w:r>
        <w:rPr>
          <w:rFonts w:hint="eastAsia" w:ascii="仿宋" w:hAnsi="Times New Roman" w:eastAsia="仿宋" w:cs="仿宋"/>
          <w:color w:val="000000"/>
          <w:sz w:val="32"/>
          <w:szCs w:val="32"/>
          <w:highlight w:val="white"/>
          <w:lang w:val="en-US" w:eastAsia="zh-CN"/>
        </w:rPr>
        <w:t xml:space="preserve">34.21  </w:t>
      </w:r>
      <w:r>
        <w:rPr>
          <w:rFonts w:hint="eastAsia" w:ascii="仿宋" w:hAnsi="Times New Roman" w:eastAsia="仿宋" w:cs="仿宋"/>
          <w:color w:val="000000"/>
          <w:sz w:val="32"/>
          <w:szCs w:val="32"/>
          <w:highlight w:val="white"/>
        </w:rPr>
        <w:t>万元，完成年初预算的</w:t>
      </w:r>
      <w:r>
        <w:rPr>
          <w:rFonts w:hint="eastAsia" w:ascii="仿宋" w:hAnsi="Times New Roman" w:eastAsia="仿宋" w:cs="仿宋"/>
          <w:color w:val="000000"/>
          <w:sz w:val="32"/>
          <w:szCs w:val="32"/>
          <w:highlight w:val="white"/>
          <w:lang w:val="en-US" w:eastAsia="zh-CN"/>
        </w:rPr>
        <w:t>81</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，决算数小于预算数</w:t>
      </w:r>
      <w:r>
        <w:rPr>
          <w:rFonts w:hint="eastAsia" w:ascii="仿宋" w:hAnsi="Times New Roman" w:eastAsia="仿宋" w:cs="仿宋"/>
          <w:color w:val="000000"/>
          <w:sz w:val="32"/>
          <w:szCs w:val="32"/>
        </w:rPr>
        <w:t>的主要原因</w:t>
      </w:r>
      <w:r>
        <w:rPr>
          <w:rFonts w:hint="eastAsia" w:ascii="仿宋" w:hAnsi="仿宋" w:eastAsia="仿宋"/>
          <w:color w:val="000000"/>
          <w:sz w:val="32"/>
        </w:rPr>
        <w:t>严格按照规定开支，部分结余未支出</w:t>
      </w:r>
      <w:r>
        <w:rPr>
          <w:rFonts w:hint="eastAsia" w:ascii="仿宋" w:hAnsi="Times New Roman" w:eastAsia="仿宋" w:cs="仿宋"/>
          <w:color w:val="000000"/>
          <w:sz w:val="32"/>
          <w:szCs w:val="32"/>
        </w:rPr>
        <w:t>。</w:t>
      </w:r>
    </w:p>
    <w:p>
      <w:pPr>
        <w:autoSpaceDE w:val="0"/>
        <w:autoSpaceDN w:val="0"/>
        <w:adjustRightInd w:val="0"/>
        <w:spacing w:line="324" w:lineRule="auto"/>
        <w:ind w:firstLine="594"/>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社会保障和就业支出（类）行政事业单位离退休（款）机关事业单位基本养老保险缴费支出（项）。年初预算为</w:t>
      </w:r>
      <w:r>
        <w:rPr>
          <w:rFonts w:hint="eastAsia" w:ascii="仿宋" w:hAnsi="Times New Roman" w:eastAsia="仿宋" w:cs="仿宋"/>
          <w:color w:val="000000"/>
          <w:sz w:val="32"/>
          <w:szCs w:val="32"/>
          <w:lang w:val="en-US" w:eastAsia="zh-CN"/>
        </w:rPr>
        <w:t>31.89</w:t>
      </w:r>
      <w:r>
        <w:rPr>
          <w:rFonts w:hint="eastAsia" w:ascii="仿宋_GB2312" w:eastAsia="仿宋_GB2312" w:cs="仿宋_GB2312"/>
          <w:color w:val="000000"/>
          <w:sz w:val="32"/>
          <w:szCs w:val="32"/>
        </w:rPr>
        <w:t xml:space="preserve"> </w:t>
      </w:r>
      <w:r>
        <w:rPr>
          <w:rFonts w:hint="eastAsia" w:ascii="仿宋" w:hAnsi="Times New Roman" w:eastAsia="仿宋" w:cs="仿宋"/>
          <w:color w:val="000000"/>
          <w:sz w:val="32"/>
          <w:szCs w:val="32"/>
        </w:rPr>
        <w:t>万元，支出决算为</w:t>
      </w:r>
      <w:r>
        <w:rPr>
          <w:rFonts w:hint="eastAsia" w:ascii="仿宋" w:hAnsi="Times New Roman" w:eastAsia="仿宋" w:cs="仿宋"/>
          <w:color w:val="000000"/>
          <w:sz w:val="32"/>
          <w:szCs w:val="32"/>
          <w:lang w:val="en-US" w:eastAsia="zh-CN"/>
        </w:rPr>
        <w:t>31.89</w:t>
      </w:r>
      <w:r>
        <w:rPr>
          <w:rFonts w:hint="eastAsia" w:ascii="仿宋" w:hAnsi="Times New Roman" w:eastAsia="仿宋" w:cs="仿宋"/>
          <w:color w:val="000000"/>
          <w:sz w:val="32"/>
          <w:szCs w:val="32"/>
        </w:rPr>
        <w:t>万元，完成年初预算的100</w:t>
      </w:r>
      <w:r>
        <w:rPr>
          <w:rFonts w:ascii="仿宋" w:hAnsi="Times New Roman" w:eastAsia="仿宋" w:cs="仿宋"/>
          <w:color w:val="000000"/>
          <w:sz w:val="32"/>
          <w:szCs w:val="32"/>
        </w:rPr>
        <w:t>%</w:t>
      </w:r>
      <w:r>
        <w:rPr>
          <w:rFonts w:hint="eastAsia" w:ascii="仿宋" w:hAnsi="Times New Roman" w:eastAsia="仿宋" w:cs="仿宋"/>
          <w:color w:val="000000"/>
          <w:sz w:val="32"/>
          <w:szCs w:val="32"/>
        </w:rPr>
        <w:t>，决算数等于预算数</w:t>
      </w:r>
      <w:r>
        <w:rPr>
          <w:rFonts w:hint="eastAsia" w:ascii="仿宋" w:hAnsi="Times New Roman" w:eastAsia="仿宋" w:cs="仿宋"/>
          <w:color w:val="000000"/>
          <w:sz w:val="32"/>
          <w:szCs w:val="32"/>
          <w:lang w:eastAsia="zh-CN"/>
        </w:rPr>
        <w:t>的主要原因</w:t>
      </w:r>
      <w:r>
        <w:rPr>
          <w:rFonts w:hint="eastAsia" w:ascii="仿宋" w:hAnsi="Times New Roman" w:eastAsia="仿宋" w:cs="仿宋"/>
          <w:color w:val="000000"/>
          <w:sz w:val="32"/>
          <w:szCs w:val="32"/>
          <w:highlight w:val="white"/>
          <w:lang w:eastAsia="zh-CN"/>
        </w:rPr>
        <w:t>按照年初预算合理支出</w:t>
      </w:r>
      <w:r>
        <w:rPr>
          <w:rFonts w:hint="eastAsia" w:ascii="仿宋" w:hAnsi="Times New Roman" w:eastAsia="仿宋" w:cs="仿宋"/>
          <w:color w:val="000000"/>
          <w:sz w:val="32"/>
          <w:szCs w:val="32"/>
        </w:rPr>
        <w:t>。</w:t>
      </w:r>
    </w:p>
    <w:p>
      <w:pPr>
        <w:spacing w:line="324" w:lineRule="auto"/>
        <w:ind w:firstLine="594"/>
        <w:rPr>
          <w:rFonts w:hint="eastAsia" w:ascii="仿宋" w:hAnsi="Times New Roman" w:eastAsia="仿宋" w:cs="仿宋"/>
          <w:color w:val="000000"/>
          <w:sz w:val="32"/>
          <w:szCs w:val="32"/>
          <w:highlight w:val="white"/>
        </w:rPr>
      </w:pPr>
      <w:r>
        <w:rPr>
          <w:rFonts w:hint="eastAsia" w:ascii="仿宋" w:hAnsi="Times New Roman" w:eastAsia="仿宋" w:cs="仿宋"/>
          <w:color w:val="000000"/>
          <w:sz w:val="32"/>
          <w:szCs w:val="32"/>
        </w:rPr>
        <w:t>社会保障和就业支出（类）行政事业单位离退休（款）机关事业单位职业年金缴费支出</w:t>
      </w:r>
      <w:r>
        <w:rPr>
          <w:rFonts w:hint="eastAsia" w:ascii="仿宋" w:hAnsi="Times New Roman" w:eastAsia="仿宋" w:cs="仿宋"/>
          <w:color w:val="000000"/>
          <w:sz w:val="32"/>
          <w:szCs w:val="32"/>
          <w:highlight w:val="white"/>
        </w:rPr>
        <w:t>（项）。年初预算为</w:t>
      </w:r>
      <w:r>
        <w:rPr>
          <w:rFonts w:hint="eastAsia" w:ascii="仿宋" w:hAnsi="Times New Roman" w:eastAsia="仿宋" w:cs="仿宋"/>
          <w:color w:val="000000"/>
          <w:sz w:val="32"/>
          <w:szCs w:val="32"/>
          <w:highlight w:val="white"/>
          <w:lang w:val="en-US" w:eastAsia="zh-CN"/>
        </w:rPr>
        <w:t>15.95</w:t>
      </w:r>
      <w:r>
        <w:rPr>
          <w:rFonts w:hint="eastAsia" w:ascii="仿宋" w:hAnsi="Times New Roman" w:eastAsia="仿宋" w:cs="仿宋"/>
          <w:color w:val="000000"/>
          <w:sz w:val="32"/>
          <w:szCs w:val="32"/>
          <w:highlight w:val="white"/>
        </w:rPr>
        <w:t>万元，支出决算为</w:t>
      </w:r>
      <w:r>
        <w:rPr>
          <w:rFonts w:hint="eastAsia" w:ascii="仿宋" w:hAnsi="Times New Roman" w:eastAsia="仿宋" w:cs="仿宋"/>
          <w:color w:val="000000"/>
          <w:sz w:val="32"/>
          <w:szCs w:val="32"/>
          <w:highlight w:val="white"/>
          <w:lang w:val="en-US" w:eastAsia="zh-CN"/>
        </w:rPr>
        <w:t>15.95</w:t>
      </w:r>
      <w:r>
        <w:rPr>
          <w:rFonts w:hint="eastAsia" w:ascii="仿宋" w:hAnsi="Times New Roman" w:eastAsia="仿宋" w:cs="仿宋"/>
          <w:color w:val="000000"/>
          <w:sz w:val="32"/>
          <w:szCs w:val="32"/>
          <w:highlight w:val="white"/>
        </w:rPr>
        <w:t>万元，完成年初预算的</w:t>
      </w:r>
      <w:r>
        <w:rPr>
          <w:rFonts w:hint="eastAsia" w:ascii="仿宋" w:hAnsi="Times New Roman" w:eastAsia="仿宋" w:cs="仿宋"/>
          <w:color w:val="000000"/>
          <w:sz w:val="32"/>
          <w:szCs w:val="32"/>
          <w:highlight w:val="white"/>
          <w:lang w:val="en-US" w:eastAsia="zh-CN"/>
        </w:rPr>
        <w:t>100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，决算数</w:t>
      </w:r>
      <w:r>
        <w:rPr>
          <w:rFonts w:hint="eastAsia" w:ascii="仿宋" w:hAnsi="Times New Roman" w:eastAsia="仿宋" w:cs="仿宋"/>
          <w:color w:val="000000"/>
          <w:sz w:val="32"/>
          <w:szCs w:val="32"/>
          <w:highlight w:val="white"/>
          <w:lang w:eastAsia="zh-CN"/>
        </w:rPr>
        <w:t>等于</w:t>
      </w:r>
      <w:r>
        <w:rPr>
          <w:rFonts w:hint="eastAsia" w:ascii="仿宋" w:hAnsi="Times New Roman" w:eastAsia="仿宋" w:cs="仿宋"/>
          <w:color w:val="000000"/>
          <w:sz w:val="32"/>
          <w:szCs w:val="32"/>
          <w:highlight w:val="white"/>
        </w:rPr>
        <w:t>预算数的主要原因</w:t>
      </w:r>
      <w:r>
        <w:rPr>
          <w:rFonts w:hint="eastAsia" w:ascii="仿宋" w:hAnsi="仿宋" w:eastAsia="仿宋"/>
          <w:color w:val="000000"/>
          <w:sz w:val="32"/>
          <w:highlight w:val="white"/>
        </w:rPr>
        <w:t>严格</w:t>
      </w:r>
      <w:r>
        <w:rPr>
          <w:rFonts w:hint="eastAsia" w:ascii="仿宋" w:hAnsi="Times New Roman" w:eastAsia="仿宋" w:cs="仿宋"/>
          <w:color w:val="000000"/>
          <w:sz w:val="32"/>
          <w:szCs w:val="32"/>
          <w:highlight w:val="white"/>
          <w:lang w:eastAsia="zh-CN"/>
        </w:rPr>
        <w:t>按照年初预算合理支出</w:t>
      </w:r>
      <w:r>
        <w:rPr>
          <w:rFonts w:hint="eastAsia" w:ascii="仿宋" w:hAnsi="仿宋" w:eastAsia="仿宋"/>
          <w:color w:val="000000"/>
          <w:sz w:val="32"/>
          <w:highlight w:val="white"/>
        </w:rPr>
        <w:t>。</w:t>
      </w:r>
      <w:r>
        <w:rPr>
          <w:rFonts w:hint="eastAsia" w:ascii="仿宋" w:hAnsi="Times New Roman" w:eastAsia="仿宋" w:cs="仿宋"/>
          <w:color w:val="000000"/>
          <w:sz w:val="32"/>
          <w:szCs w:val="32"/>
          <w:highlight w:val="white"/>
        </w:rPr>
        <w:t xml:space="preserve">  </w:t>
      </w:r>
    </w:p>
    <w:p>
      <w:pPr>
        <w:autoSpaceDE w:val="0"/>
        <w:autoSpaceDN w:val="0"/>
        <w:adjustRightInd w:val="0"/>
        <w:spacing w:line="324" w:lineRule="auto"/>
        <w:ind w:firstLine="594"/>
        <w:rPr>
          <w:rFonts w:hint="eastAsia" w:ascii="仿宋" w:hAnsi="仿宋" w:eastAsia="仿宋"/>
          <w:color w:val="000000"/>
          <w:sz w:val="32"/>
          <w:highlight w:val="white"/>
          <w:lang w:eastAsia="zh-CN"/>
        </w:rPr>
      </w:pPr>
      <w:r>
        <w:rPr>
          <w:rFonts w:hint="eastAsia" w:ascii="仿宋" w:hAnsi="Times New Roman" w:eastAsia="仿宋" w:cs="仿宋"/>
          <w:b w:val="0"/>
          <w:bCs w:val="0"/>
          <w:color w:val="000000"/>
          <w:sz w:val="32"/>
          <w:szCs w:val="32"/>
        </w:rPr>
        <w:t>卫生健康支出</w:t>
      </w:r>
      <w:r>
        <w:rPr>
          <w:rFonts w:hint="eastAsia" w:ascii="仿宋" w:hAnsi="Times New Roman" w:eastAsia="仿宋" w:cs="仿宋"/>
          <w:b w:val="0"/>
          <w:bCs w:val="0"/>
          <w:color w:val="000000"/>
          <w:sz w:val="32"/>
          <w:szCs w:val="32"/>
          <w:highlight w:val="white"/>
        </w:rPr>
        <w:t>（类）</w:t>
      </w:r>
      <w:r>
        <w:rPr>
          <w:rFonts w:hint="eastAsia" w:ascii="仿宋" w:hAnsi="Times New Roman" w:eastAsia="仿宋" w:cs="仿宋"/>
          <w:b w:val="0"/>
          <w:bCs w:val="0"/>
          <w:color w:val="000000"/>
          <w:sz w:val="32"/>
          <w:szCs w:val="32"/>
          <w:lang w:eastAsia="zh-CN"/>
        </w:rPr>
        <w:t>公共卫生</w:t>
      </w:r>
      <w:r>
        <w:rPr>
          <w:rFonts w:hint="eastAsia" w:ascii="仿宋" w:hAnsi="Times New Roman" w:eastAsia="仿宋" w:cs="仿宋"/>
          <w:b w:val="0"/>
          <w:bCs w:val="0"/>
          <w:color w:val="000000"/>
          <w:sz w:val="32"/>
          <w:szCs w:val="32"/>
          <w:highlight w:val="white"/>
        </w:rPr>
        <w:t>（款）</w:t>
      </w:r>
      <w:r>
        <w:rPr>
          <w:rFonts w:hint="eastAsia" w:ascii="仿宋" w:hAnsi="Times New Roman" w:eastAsia="仿宋" w:cs="仿宋"/>
          <w:b w:val="0"/>
          <w:bCs w:val="0"/>
          <w:color w:val="000000"/>
          <w:sz w:val="32"/>
          <w:szCs w:val="32"/>
          <w:highlight w:val="white"/>
          <w:lang w:eastAsia="zh-CN"/>
        </w:rPr>
        <w:t>重大公共卫生服务</w:t>
      </w:r>
      <w:r>
        <w:rPr>
          <w:rFonts w:hint="eastAsia" w:ascii="仿宋" w:hAnsi="Times New Roman" w:eastAsia="仿宋" w:cs="仿宋"/>
          <w:b w:val="0"/>
          <w:bCs w:val="0"/>
          <w:color w:val="000000"/>
          <w:sz w:val="32"/>
          <w:szCs w:val="32"/>
          <w:highlight w:val="white"/>
        </w:rPr>
        <w:t>（项）。年初预算为</w:t>
      </w:r>
      <w:r>
        <w:rPr>
          <w:rFonts w:hint="eastAsia" w:ascii="仿宋_GB2312" w:eastAsia="仿宋_GB2312" w:cs="仿宋_GB2312"/>
          <w:b w:val="0"/>
          <w:bCs w:val="0"/>
          <w:color w:val="000000"/>
          <w:sz w:val="32"/>
          <w:szCs w:val="32"/>
        </w:rPr>
        <w:t xml:space="preserve"> </w:t>
      </w:r>
      <w:r>
        <w:rPr>
          <w:rFonts w:hint="eastAsia" w:ascii="仿宋_GB2312" w:eastAsia="仿宋_GB2312" w:cs="仿宋_GB2312"/>
          <w:b w:val="0"/>
          <w:bCs w:val="0"/>
          <w:color w:val="000000"/>
          <w:sz w:val="32"/>
          <w:szCs w:val="32"/>
          <w:lang w:val="en-US" w:eastAsia="zh-CN"/>
        </w:rPr>
        <w:t>0</w:t>
      </w:r>
      <w:r>
        <w:rPr>
          <w:rFonts w:hint="eastAsia" w:ascii="仿宋" w:hAnsi="Times New Roman" w:eastAsia="仿宋" w:cs="仿宋"/>
          <w:b w:val="0"/>
          <w:bCs w:val="0"/>
          <w:color w:val="000000"/>
          <w:sz w:val="32"/>
          <w:szCs w:val="32"/>
          <w:highlight w:val="white"/>
        </w:rPr>
        <w:t>万元，</w:t>
      </w:r>
      <w:r>
        <w:rPr>
          <w:rFonts w:hint="eastAsia" w:ascii="仿宋" w:hAnsi="Times New Roman" w:eastAsia="仿宋" w:cs="仿宋"/>
          <w:b w:val="0"/>
          <w:bCs w:val="0"/>
          <w:color w:val="000000"/>
          <w:sz w:val="32"/>
          <w:szCs w:val="32"/>
          <w:highlight w:val="white"/>
          <w:lang w:eastAsia="zh-CN"/>
        </w:rPr>
        <w:t>追加</w:t>
      </w:r>
      <w:r>
        <w:rPr>
          <w:rFonts w:hint="eastAsia" w:ascii="仿宋" w:hAnsi="Times New Roman" w:eastAsia="仿宋" w:cs="仿宋"/>
          <w:b w:val="0"/>
          <w:bCs w:val="0"/>
          <w:color w:val="000000"/>
          <w:sz w:val="32"/>
          <w:szCs w:val="32"/>
          <w:highlight w:val="white"/>
          <w:lang w:val="en-US" w:eastAsia="zh-CN"/>
        </w:rPr>
        <w:t>372.38万元，</w:t>
      </w:r>
      <w:r>
        <w:rPr>
          <w:rFonts w:hint="eastAsia" w:ascii="仿宋" w:hAnsi="Times New Roman" w:eastAsia="仿宋" w:cs="仿宋"/>
          <w:b w:val="0"/>
          <w:bCs w:val="0"/>
          <w:color w:val="000000"/>
          <w:sz w:val="32"/>
          <w:szCs w:val="32"/>
          <w:highlight w:val="white"/>
        </w:rPr>
        <w:t>支出决算为</w:t>
      </w:r>
      <w:r>
        <w:rPr>
          <w:rFonts w:hint="eastAsia" w:ascii="仿宋" w:hAnsi="Times New Roman" w:eastAsia="仿宋" w:cs="仿宋"/>
          <w:b w:val="0"/>
          <w:bCs w:val="0"/>
          <w:color w:val="000000"/>
          <w:sz w:val="32"/>
          <w:szCs w:val="32"/>
          <w:highlight w:val="white"/>
          <w:lang w:val="en-US" w:eastAsia="zh-CN"/>
        </w:rPr>
        <w:t>372.38</w:t>
      </w:r>
      <w:r>
        <w:rPr>
          <w:rFonts w:hint="eastAsia" w:ascii="仿宋" w:hAnsi="Times New Roman" w:eastAsia="仿宋" w:cs="仿宋"/>
          <w:b w:val="0"/>
          <w:bCs w:val="0"/>
          <w:color w:val="000000"/>
          <w:sz w:val="32"/>
          <w:szCs w:val="32"/>
          <w:highlight w:val="white"/>
        </w:rPr>
        <w:t>万元，完成年初预算的</w:t>
      </w:r>
      <w:r>
        <w:rPr>
          <w:rFonts w:hint="eastAsia" w:ascii="仿宋" w:hAnsi="Times New Roman" w:eastAsia="仿宋" w:cs="仿宋"/>
          <w:b w:val="0"/>
          <w:bCs w:val="0"/>
          <w:color w:val="000000"/>
          <w:sz w:val="32"/>
          <w:szCs w:val="32"/>
          <w:highlight w:val="white"/>
          <w:lang w:val="en-US" w:eastAsia="zh-CN"/>
        </w:rPr>
        <w:t>100</w:t>
      </w:r>
      <w:r>
        <w:rPr>
          <w:rFonts w:ascii="仿宋" w:hAnsi="Times New Roman" w:eastAsia="仿宋" w:cs="仿宋"/>
          <w:b w:val="0"/>
          <w:bCs w:val="0"/>
          <w:color w:val="000000"/>
          <w:sz w:val="32"/>
          <w:szCs w:val="32"/>
          <w:highlight w:val="white"/>
        </w:rPr>
        <w:t>%</w:t>
      </w:r>
      <w:r>
        <w:rPr>
          <w:rFonts w:hint="eastAsia" w:ascii="仿宋" w:hAnsi="Times New Roman" w:eastAsia="仿宋" w:cs="仿宋"/>
          <w:b w:val="0"/>
          <w:bCs w:val="0"/>
          <w:color w:val="000000"/>
          <w:sz w:val="32"/>
          <w:szCs w:val="32"/>
          <w:highlight w:val="white"/>
        </w:rPr>
        <w:t>。</w:t>
      </w:r>
      <w:r>
        <w:rPr>
          <w:rFonts w:hint="eastAsia" w:ascii="仿宋" w:hAnsi="仿宋" w:eastAsia="仿宋"/>
          <w:color w:val="000000"/>
          <w:sz w:val="32"/>
          <w:highlight w:val="white"/>
        </w:rPr>
        <w:t>决算数</w:t>
      </w:r>
      <w:r>
        <w:rPr>
          <w:rFonts w:hint="eastAsia" w:ascii="仿宋" w:hAnsi="仿宋" w:eastAsia="仿宋"/>
          <w:color w:val="000000"/>
          <w:sz w:val="32"/>
          <w:highlight w:val="white"/>
          <w:lang w:eastAsia="zh-CN"/>
        </w:rPr>
        <w:t>大</w:t>
      </w:r>
      <w:r>
        <w:rPr>
          <w:rFonts w:hint="eastAsia" w:ascii="仿宋" w:hAnsi="仿宋" w:eastAsia="仿宋"/>
          <w:color w:val="000000"/>
          <w:sz w:val="32"/>
          <w:highlight w:val="white"/>
        </w:rPr>
        <w:t>于预算数的主要原因</w:t>
      </w:r>
      <w:r>
        <w:rPr>
          <w:rFonts w:hint="eastAsia" w:ascii="仿宋" w:hAnsi="仿宋" w:eastAsia="仿宋"/>
          <w:color w:val="000000"/>
          <w:sz w:val="32"/>
          <w:highlight w:val="white"/>
          <w:lang w:eastAsia="zh-CN"/>
        </w:rPr>
        <w:t>增加疫情专项资金。</w:t>
      </w:r>
    </w:p>
    <w:p>
      <w:pPr>
        <w:autoSpaceDE w:val="0"/>
        <w:autoSpaceDN w:val="0"/>
        <w:adjustRightInd w:val="0"/>
        <w:spacing w:line="324" w:lineRule="auto"/>
        <w:ind w:firstLine="594"/>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卫生健康支出</w:t>
      </w:r>
      <w:r>
        <w:rPr>
          <w:rFonts w:hint="eastAsia" w:ascii="仿宋" w:hAnsi="Times New Roman" w:eastAsia="仿宋" w:cs="仿宋"/>
          <w:color w:val="000000"/>
          <w:sz w:val="32"/>
          <w:szCs w:val="32"/>
          <w:highlight w:val="white"/>
        </w:rPr>
        <w:t>（类）</w:t>
      </w:r>
      <w:r>
        <w:rPr>
          <w:rFonts w:hint="eastAsia" w:ascii="仿宋" w:hAnsi="Times New Roman" w:eastAsia="仿宋" w:cs="仿宋"/>
          <w:color w:val="000000"/>
          <w:sz w:val="32"/>
          <w:szCs w:val="32"/>
        </w:rPr>
        <w:t>行政事业单位医疗</w:t>
      </w:r>
      <w:r>
        <w:rPr>
          <w:rFonts w:hint="eastAsia" w:ascii="仿宋" w:hAnsi="Times New Roman" w:eastAsia="仿宋" w:cs="仿宋"/>
          <w:color w:val="000000"/>
          <w:sz w:val="32"/>
          <w:szCs w:val="32"/>
          <w:highlight w:val="white"/>
        </w:rPr>
        <w:t>（款）</w:t>
      </w:r>
      <w:r>
        <w:rPr>
          <w:rFonts w:hint="eastAsia" w:ascii="仿宋" w:hAnsi="Times New Roman" w:eastAsia="仿宋" w:cs="仿宋"/>
          <w:color w:val="000000"/>
          <w:sz w:val="32"/>
          <w:szCs w:val="32"/>
        </w:rPr>
        <w:t>行政单位医疗</w:t>
      </w:r>
      <w:r>
        <w:rPr>
          <w:rFonts w:hint="eastAsia" w:ascii="仿宋" w:hAnsi="Times New Roman" w:eastAsia="仿宋" w:cs="仿宋"/>
          <w:color w:val="000000"/>
          <w:sz w:val="32"/>
          <w:szCs w:val="32"/>
          <w:highlight w:val="white"/>
        </w:rPr>
        <w:t>（项）。年初预算为</w:t>
      </w:r>
      <w:r>
        <w:rPr>
          <w:rFonts w:hint="eastAsia" w:ascii="仿宋_GB2312" w:eastAsia="仿宋_GB2312" w:cs="仿宋_GB2312"/>
          <w:color w:val="000000"/>
          <w:sz w:val="32"/>
          <w:szCs w:val="32"/>
        </w:rPr>
        <w:t xml:space="preserve"> </w:t>
      </w:r>
      <w:r>
        <w:rPr>
          <w:rFonts w:hint="eastAsia" w:ascii="仿宋_GB2312" w:eastAsia="仿宋_GB2312" w:cs="仿宋_GB2312"/>
          <w:color w:val="000000"/>
          <w:sz w:val="32"/>
          <w:szCs w:val="32"/>
          <w:lang w:val="en-US" w:eastAsia="zh-CN"/>
        </w:rPr>
        <w:t>15.66</w:t>
      </w:r>
      <w:r>
        <w:rPr>
          <w:rFonts w:hint="eastAsia" w:ascii="仿宋" w:hAnsi="Times New Roman" w:eastAsia="仿宋" w:cs="仿宋"/>
          <w:color w:val="000000"/>
          <w:sz w:val="32"/>
          <w:szCs w:val="32"/>
          <w:highlight w:val="white"/>
        </w:rPr>
        <w:t>万元，支出决算为</w:t>
      </w:r>
      <w:r>
        <w:rPr>
          <w:rFonts w:hint="eastAsia" w:ascii="仿宋" w:hAnsi="Times New Roman" w:eastAsia="仿宋" w:cs="仿宋"/>
          <w:color w:val="000000"/>
          <w:sz w:val="32"/>
          <w:szCs w:val="32"/>
          <w:highlight w:val="white"/>
          <w:lang w:val="en-US" w:eastAsia="zh-CN"/>
        </w:rPr>
        <w:t>15.66</w:t>
      </w:r>
      <w:r>
        <w:rPr>
          <w:rFonts w:hint="eastAsia" w:ascii="仿宋" w:hAnsi="Times New Roman" w:eastAsia="仿宋" w:cs="仿宋"/>
          <w:color w:val="000000"/>
          <w:sz w:val="32"/>
          <w:szCs w:val="32"/>
          <w:highlight w:val="white"/>
        </w:rPr>
        <w:t xml:space="preserve">万元，完成年初预算的100 </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lang w:eastAsia="zh-CN"/>
        </w:rPr>
        <w:t>，</w:t>
      </w:r>
      <w:r>
        <w:rPr>
          <w:rFonts w:hint="eastAsia" w:ascii="仿宋" w:hAnsi="Times New Roman" w:eastAsia="仿宋" w:cs="仿宋"/>
          <w:color w:val="000000"/>
          <w:sz w:val="32"/>
          <w:szCs w:val="32"/>
        </w:rPr>
        <w:t>决算数等于预算数</w:t>
      </w:r>
      <w:r>
        <w:rPr>
          <w:rFonts w:hint="eastAsia" w:ascii="仿宋" w:hAnsi="Times New Roman" w:eastAsia="仿宋" w:cs="仿宋"/>
          <w:color w:val="000000"/>
          <w:sz w:val="32"/>
          <w:szCs w:val="32"/>
          <w:lang w:eastAsia="zh-CN"/>
        </w:rPr>
        <w:t>的主要原因</w:t>
      </w:r>
      <w:r>
        <w:rPr>
          <w:rFonts w:hint="eastAsia" w:ascii="仿宋" w:hAnsi="Times New Roman" w:eastAsia="仿宋" w:cs="仿宋"/>
          <w:color w:val="000000"/>
          <w:sz w:val="32"/>
          <w:szCs w:val="32"/>
          <w:highlight w:val="white"/>
          <w:lang w:eastAsia="zh-CN"/>
        </w:rPr>
        <w:t>按照年初预算合理支出</w:t>
      </w:r>
      <w:r>
        <w:rPr>
          <w:rFonts w:hint="eastAsia" w:ascii="仿宋" w:hAnsi="Times New Roman" w:eastAsia="仿宋" w:cs="仿宋"/>
          <w:color w:val="000000"/>
          <w:sz w:val="32"/>
          <w:szCs w:val="32"/>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rPr>
        <w:t>住房保障支出</w:t>
      </w:r>
      <w:r>
        <w:rPr>
          <w:rFonts w:hint="eastAsia" w:ascii="仿宋" w:hAnsi="Times New Roman" w:eastAsia="仿宋" w:cs="仿宋"/>
          <w:color w:val="000000"/>
          <w:sz w:val="32"/>
          <w:szCs w:val="32"/>
          <w:highlight w:val="white"/>
        </w:rPr>
        <w:t>（类）</w:t>
      </w:r>
      <w:r>
        <w:rPr>
          <w:rFonts w:hint="eastAsia" w:ascii="仿宋" w:hAnsi="Times New Roman" w:eastAsia="仿宋" w:cs="仿宋"/>
          <w:color w:val="000000"/>
          <w:sz w:val="32"/>
          <w:szCs w:val="32"/>
        </w:rPr>
        <w:t>住房改革支出</w:t>
      </w:r>
      <w:r>
        <w:rPr>
          <w:rFonts w:hint="eastAsia" w:ascii="仿宋" w:hAnsi="Times New Roman" w:eastAsia="仿宋" w:cs="仿宋"/>
          <w:color w:val="000000"/>
          <w:sz w:val="32"/>
          <w:szCs w:val="32"/>
          <w:highlight w:val="white"/>
        </w:rPr>
        <w:t>（款）</w:t>
      </w:r>
      <w:r>
        <w:rPr>
          <w:rFonts w:hint="eastAsia" w:ascii="仿宋" w:hAnsi="Times New Roman" w:eastAsia="仿宋" w:cs="仿宋"/>
          <w:color w:val="000000"/>
          <w:sz w:val="32"/>
          <w:szCs w:val="32"/>
        </w:rPr>
        <w:t xml:space="preserve">  住房公积金</w:t>
      </w:r>
      <w:r>
        <w:rPr>
          <w:rFonts w:hint="eastAsia" w:ascii="仿宋" w:hAnsi="Times New Roman" w:eastAsia="仿宋" w:cs="仿宋"/>
          <w:color w:val="000000"/>
          <w:sz w:val="32"/>
          <w:szCs w:val="32"/>
          <w:highlight w:val="white"/>
        </w:rPr>
        <w:t>（项）。年初预算为</w:t>
      </w:r>
      <w:r>
        <w:rPr>
          <w:rFonts w:hint="eastAsia" w:ascii="仿宋" w:hAnsi="Times New Roman" w:eastAsia="仿宋" w:cs="仿宋"/>
          <w:color w:val="000000"/>
          <w:sz w:val="32"/>
          <w:szCs w:val="32"/>
          <w:lang w:val="en-US" w:eastAsia="zh-CN"/>
        </w:rPr>
        <w:t>37.98</w:t>
      </w:r>
      <w:r>
        <w:rPr>
          <w:rFonts w:hint="eastAsia" w:ascii="仿宋" w:hAnsi="Times New Roman" w:eastAsia="仿宋" w:cs="仿宋"/>
          <w:color w:val="000000"/>
          <w:sz w:val="32"/>
          <w:szCs w:val="32"/>
          <w:highlight w:val="white"/>
        </w:rPr>
        <w:t>万元，支出决算为</w:t>
      </w:r>
      <w:r>
        <w:rPr>
          <w:rFonts w:hint="eastAsia" w:ascii="仿宋" w:hAnsi="Times New Roman" w:eastAsia="仿宋" w:cs="仿宋"/>
          <w:color w:val="000000"/>
          <w:sz w:val="32"/>
          <w:szCs w:val="32"/>
          <w:highlight w:val="white"/>
          <w:lang w:val="en-US" w:eastAsia="zh-CN"/>
        </w:rPr>
        <w:t>37.98</w:t>
      </w:r>
      <w:r>
        <w:rPr>
          <w:rFonts w:hint="eastAsia" w:ascii="仿宋" w:hAnsi="Times New Roman" w:eastAsia="仿宋" w:cs="仿宋"/>
          <w:color w:val="000000"/>
          <w:sz w:val="32"/>
          <w:szCs w:val="32"/>
          <w:highlight w:val="white"/>
        </w:rPr>
        <w:t>万元，完成年初预算的</w:t>
      </w:r>
      <w:r>
        <w:rPr>
          <w:rFonts w:hint="eastAsia" w:ascii="仿宋" w:hAnsi="Times New Roman" w:eastAsia="仿宋" w:cs="仿宋"/>
          <w:color w:val="000000"/>
          <w:sz w:val="32"/>
          <w:szCs w:val="32"/>
          <w:highlight w:val="white"/>
          <w:lang w:val="en-US" w:eastAsia="zh-CN"/>
        </w:rPr>
        <w:t>100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，决算数</w:t>
      </w:r>
      <w:r>
        <w:rPr>
          <w:rFonts w:hint="eastAsia" w:ascii="仿宋" w:hAnsi="Times New Roman" w:eastAsia="仿宋" w:cs="仿宋"/>
          <w:color w:val="000000"/>
          <w:sz w:val="32"/>
          <w:szCs w:val="32"/>
          <w:highlight w:val="white"/>
          <w:lang w:eastAsia="zh-CN"/>
        </w:rPr>
        <w:t>等于</w:t>
      </w:r>
      <w:r>
        <w:rPr>
          <w:rFonts w:hint="eastAsia" w:ascii="仿宋" w:hAnsi="Times New Roman" w:eastAsia="仿宋" w:cs="仿宋"/>
          <w:color w:val="000000"/>
          <w:sz w:val="32"/>
          <w:szCs w:val="32"/>
          <w:highlight w:val="white"/>
        </w:rPr>
        <w:t>预算数的主要原因</w:t>
      </w:r>
      <w:r>
        <w:rPr>
          <w:rFonts w:hint="eastAsia" w:ascii="仿宋" w:hAnsi="仿宋" w:eastAsia="仿宋"/>
          <w:color w:val="000000"/>
          <w:sz w:val="32"/>
          <w:highlight w:val="white"/>
        </w:rPr>
        <w:t>严格</w:t>
      </w:r>
      <w:r>
        <w:rPr>
          <w:rFonts w:hint="eastAsia" w:ascii="仿宋" w:hAnsi="Times New Roman" w:eastAsia="仿宋" w:cs="仿宋"/>
          <w:color w:val="000000"/>
          <w:sz w:val="32"/>
          <w:szCs w:val="32"/>
          <w:highlight w:val="white"/>
          <w:lang w:eastAsia="zh-CN"/>
        </w:rPr>
        <w:t>按照年初预算合理支出</w:t>
      </w:r>
      <w:r>
        <w:rPr>
          <w:rFonts w:hint="eastAsia" w:ascii="仿宋" w:hAnsi="仿宋" w:eastAsia="仿宋"/>
          <w:color w:val="000000"/>
          <w:sz w:val="32"/>
          <w:highlight w:val="white"/>
        </w:rPr>
        <w:t>。</w:t>
      </w:r>
      <w:r>
        <w:rPr>
          <w:rFonts w:hint="eastAsia" w:ascii="仿宋" w:hAnsi="Times New Roman" w:eastAsia="仿宋" w:cs="仿宋"/>
          <w:color w:val="000000"/>
          <w:sz w:val="32"/>
          <w:szCs w:val="32"/>
          <w:highlight w:val="white"/>
        </w:rPr>
        <w:t xml:space="preserve">  </w:t>
      </w:r>
    </w:p>
    <w:p>
      <w:pPr>
        <w:spacing w:beforeLines="0" w:afterLines="0" w:line="324" w:lineRule="auto"/>
        <w:ind w:firstLine="643" w:firstLineChars="200"/>
        <w:rPr>
          <w:rFonts w:hint="default" w:ascii="Times New Roman" w:hAnsi="Times New Roman" w:eastAsia="Times New Roman"/>
          <w:color w:val="000000"/>
          <w:sz w:val="32"/>
          <w:highlight w:val="white"/>
          <w:lang w:val="en-US"/>
        </w:rPr>
      </w:pPr>
      <w:r>
        <w:rPr>
          <w:rFonts w:hint="eastAsia" w:ascii="楷体" w:hAnsi="楷体" w:eastAsia="楷体"/>
          <w:b/>
          <w:color w:val="000000"/>
          <w:sz w:val="32"/>
          <w:highlight w:val="white"/>
          <w:lang w:val="en-US"/>
        </w:rPr>
        <w:t>（六）一般公共预算财政拨款基本支出决算情况说明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2020年度一般公共预算财政拨款基本支出997.62万元，其中：</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人员经费588.67万元，主要包括：基本工资、津贴补贴、奖金、</w:t>
      </w:r>
      <w:r>
        <w:rPr>
          <w:rFonts w:hint="eastAsia" w:ascii="仿宋" w:hAnsi="仿宋" w:eastAsia="仿宋"/>
          <w:color w:val="000000"/>
          <w:sz w:val="32"/>
          <w:highlight w:val="white"/>
          <w:lang w:val="en-US" w:eastAsia="zh-CN"/>
        </w:rPr>
        <w:t>伙食补助费、绩效工资、机关事业单位基本养老保险缴费、职业年金缴费、职工基本医疗保险缴费、住房公积金、其他工资福利支出、医疗费补助等</w:t>
      </w:r>
      <w:r>
        <w:rPr>
          <w:rFonts w:hint="eastAsia" w:ascii="仿宋" w:hAnsi="仿宋" w:eastAsia="仿宋"/>
          <w:color w:val="000000"/>
          <w:sz w:val="32"/>
          <w:highlight w:val="white"/>
          <w:lang w:val="en-US"/>
        </w:rPr>
        <w:t>。</w:t>
      </w:r>
    </w:p>
    <w:p>
      <w:pPr>
        <w:spacing w:beforeLines="0" w:afterLines="0" w:line="324" w:lineRule="auto"/>
        <w:ind w:firstLine="594"/>
        <w:rPr>
          <w:rFonts w:hint="default" w:ascii="Times New Roman" w:hAnsi="Times New Roman" w:eastAsia="Times New Roman"/>
          <w:color w:val="000000"/>
          <w:sz w:val="32"/>
          <w:highlight w:val="white"/>
          <w:lang w:val="en-US"/>
        </w:rPr>
      </w:pPr>
      <w:r>
        <w:rPr>
          <w:rFonts w:hint="eastAsia" w:ascii="仿宋" w:hAnsi="仿宋" w:eastAsia="仿宋"/>
          <w:color w:val="000000"/>
          <w:sz w:val="32"/>
          <w:highlight w:val="white"/>
          <w:lang w:val="en-US"/>
        </w:rPr>
        <w:t>公用经费408.96万元，主要包括：办公费、印刷费、</w:t>
      </w:r>
      <w:r>
        <w:rPr>
          <w:rFonts w:hint="eastAsia" w:ascii="仿宋" w:hAnsi="仿宋" w:eastAsia="仿宋"/>
          <w:color w:val="000000"/>
          <w:sz w:val="32"/>
          <w:highlight w:val="white"/>
          <w:lang w:val="en-US" w:eastAsia="zh-CN"/>
        </w:rPr>
        <w:t>福利费、其他交通费用、其他商品和福利支出等</w:t>
      </w:r>
      <w:r>
        <w:rPr>
          <w:rFonts w:hint="eastAsia" w:ascii="仿宋" w:hAnsi="仿宋" w:eastAsia="仿宋"/>
          <w:color w:val="000000"/>
          <w:sz w:val="32"/>
          <w:highlight w:val="white"/>
          <w:lang w:val="en-US"/>
        </w:rPr>
        <w:t>。</w:t>
      </w:r>
    </w:p>
    <w:p>
      <w:pPr>
        <w:numPr>
          <w:ilvl w:val="0"/>
          <w:numId w:val="1"/>
        </w:num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政府性基金预算财政拨款支出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lang w:val="en-US"/>
        </w:rPr>
        <w:t>总体情况说明</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24" w:lineRule="auto"/>
        <w:ind w:firstLine="640" w:firstLineChars="200"/>
        <w:textAlignment w:val="auto"/>
        <w:rPr>
          <w:rFonts w:hint="default" w:ascii="仿宋" w:hAnsi="仿宋" w:eastAsia="仿宋"/>
          <w:b/>
          <w:color w:val="000000"/>
          <w:sz w:val="32"/>
          <w:highlight w:val="white"/>
          <w:lang w:eastAsia="zh-CN"/>
        </w:rPr>
      </w:pPr>
      <w:r>
        <w:rPr>
          <w:rFonts w:hint="eastAsia" w:ascii="仿宋" w:hAnsi="仿宋" w:eastAsia="仿宋"/>
          <w:color w:val="000000"/>
          <w:sz w:val="32"/>
          <w:highlight w:val="white"/>
          <w:lang w:val="en-US" w:eastAsia="zh-CN"/>
        </w:rPr>
        <w:t>景宁县机关事务保障中心</w:t>
      </w:r>
      <w:r>
        <w:rPr>
          <w:rFonts w:hint="eastAsia" w:ascii="仿宋" w:hAnsi="仿宋" w:eastAsia="仿宋"/>
          <w:color w:val="000000"/>
          <w:sz w:val="32"/>
          <w:highlight w:val="white"/>
          <w:lang w:val="en-US"/>
        </w:rPr>
        <w:t>2020年度无政府性基金预算财政拨款收支安排</w:t>
      </w:r>
      <w:r>
        <w:rPr>
          <w:rFonts w:hint="default" w:ascii="仿宋" w:hAnsi="仿宋" w:eastAsia="仿宋"/>
          <w:color w:val="000000"/>
          <w:sz w:val="32"/>
          <w:highlight w:val="white"/>
        </w:rPr>
        <w:t>，故无相关数据。</w:t>
      </w:r>
    </w:p>
    <w:p>
      <w:pPr>
        <w:numPr>
          <w:ilvl w:val="0"/>
          <w:numId w:val="1"/>
        </w:numPr>
        <w:spacing w:beforeLines="0" w:afterLines="0" w:line="324" w:lineRule="auto"/>
        <w:ind w:left="0" w:leftChars="0" w:firstLine="594" w:firstLineChars="0"/>
        <w:rPr>
          <w:rFonts w:hint="eastAsia" w:ascii="楷体" w:hAnsi="楷体" w:eastAsia="楷体"/>
          <w:b/>
          <w:color w:val="000000"/>
          <w:sz w:val="32"/>
          <w:highlight w:val="white"/>
          <w:lang w:val="en-US" w:eastAsia="zh-CN"/>
        </w:rPr>
      </w:pPr>
      <w:r>
        <w:rPr>
          <w:rFonts w:hint="eastAsia" w:ascii="楷体" w:hAnsi="楷体" w:eastAsia="楷体"/>
          <w:b/>
          <w:color w:val="000000"/>
          <w:sz w:val="32"/>
          <w:highlight w:val="white"/>
          <w:lang w:val="en-US"/>
        </w:rPr>
        <w:t>国有资本经营预算财政拨款支出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lang w:val="en-US"/>
        </w:rPr>
        <w:t>总体情况说明</w:t>
      </w:r>
      <w:r>
        <w:rPr>
          <w:rFonts w:hint="eastAsia" w:ascii="楷体" w:hAnsi="楷体" w:eastAsia="楷体"/>
          <w:b/>
          <w:color w:val="000000"/>
          <w:sz w:val="32"/>
          <w:highlight w:val="whit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24" w:lineRule="auto"/>
        <w:ind w:firstLine="640" w:firstLineChars="200"/>
        <w:textAlignment w:val="auto"/>
        <w:rPr>
          <w:rFonts w:hint="eastAsia" w:ascii="仿宋" w:hAnsi="仿宋" w:eastAsia="仿宋"/>
          <w:b/>
          <w:color w:val="000000"/>
          <w:sz w:val="32"/>
          <w:highlight w:val="white"/>
          <w:lang w:val="en-US" w:eastAsia="zh-CN"/>
        </w:rPr>
      </w:pPr>
      <w:r>
        <w:rPr>
          <w:rFonts w:hint="eastAsia" w:ascii="仿宋" w:hAnsi="仿宋" w:eastAsia="仿宋"/>
          <w:color w:val="000000"/>
          <w:sz w:val="32"/>
          <w:highlight w:val="white"/>
          <w:lang w:val="en-US" w:eastAsia="zh-CN"/>
        </w:rPr>
        <w:t>景宁县机关事务保障中心</w:t>
      </w:r>
      <w:r>
        <w:rPr>
          <w:rFonts w:hint="eastAsia" w:ascii="仿宋" w:hAnsi="仿宋" w:eastAsia="仿宋"/>
          <w:color w:val="000000"/>
          <w:sz w:val="32"/>
          <w:highlight w:val="white"/>
          <w:lang w:val="en-US"/>
        </w:rPr>
        <w:t>2020年度无国有资本经营预算财政拨款收支安排</w:t>
      </w:r>
      <w:r>
        <w:rPr>
          <w:rFonts w:hint="default" w:ascii="仿宋" w:hAnsi="仿宋" w:eastAsia="仿宋"/>
          <w:color w:val="000000"/>
          <w:sz w:val="32"/>
          <w:highlight w:val="white"/>
        </w:rPr>
        <w:t>，故无相关数据。</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（九）一般公共预算财政拨款</w:t>
      </w:r>
      <w:r>
        <w:rPr>
          <w:rFonts w:hint="default" w:ascii="楷体" w:hAnsi="楷体" w:eastAsia="楷体"/>
          <w:b/>
          <w:color w:val="000000"/>
          <w:sz w:val="32"/>
          <w:highlight w:val="white"/>
          <w:lang w:val="en-US"/>
        </w:rPr>
        <w:t>“</w:t>
      </w:r>
      <w:r>
        <w:rPr>
          <w:rFonts w:hint="eastAsia" w:ascii="楷体" w:hAnsi="楷体" w:eastAsia="楷体"/>
          <w:b/>
          <w:color w:val="000000"/>
          <w:sz w:val="32"/>
          <w:highlight w:val="white"/>
          <w:lang w:val="en-US"/>
        </w:rPr>
        <w:t>三公</w:t>
      </w:r>
      <w:r>
        <w:rPr>
          <w:rFonts w:hint="default" w:ascii="楷体" w:hAnsi="楷体" w:eastAsia="楷体"/>
          <w:b/>
          <w:color w:val="000000"/>
          <w:sz w:val="32"/>
          <w:highlight w:val="white"/>
          <w:lang w:val="en-US"/>
        </w:rPr>
        <w:t>”</w:t>
      </w:r>
      <w:r>
        <w:rPr>
          <w:rFonts w:hint="eastAsia" w:ascii="楷体" w:hAnsi="楷体" w:eastAsia="楷体"/>
          <w:b/>
          <w:color w:val="000000"/>
          <w:sz w:val="32"/>
          <w:highlight w:val="white"/>
          <w:lang w:val="en-US"/>
        </w:rPr>
        <w:t>经费支出决算情况说明</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1.</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三公</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 xml:space="preserve">经费一般公共预算财政拨款支出决算总体情况说明。 </w:t>
      </w:r>
    </w:p>
    <w:p>
      <w:pPr>
        <w:spacing w:line="640" w:lineRule="exact"/>
        <w:ind w:firstLine="640" w:firstLineChars="20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经费一般公共预算财政拨款支出预算为</w:t>
      </w:r>
      <w:r>
        <w:rPr>
          <w:rFonts w:hint="eastAsia" w:ascii="仿宋" w:hAnsi="仿宋" w:eastAsia="仿宋"/>
          <w:color w:val="000000"/>
          <w:sz w:val="32"/>
          <w:highlight w:val="white"/>
          <w:lang w:val="en-US" w:eastAsia="zh-CN"/>
        </w:rPr>
        <w:t>152.53</w:t>
      </w:r>
      <w:r>
        <w:rPr>
          <w:rFonts w:hint="eastAsia" w:ascii="仿宋" w:hAnsi="仿宋" w:eastAsia="仿宋"/>
          <w:color w:val="000000"/>
          <w:sz w:val="32"/>
          <w:highlight w:val="white"/>
          <w:lang w:val="en-US"/>
        </w:rPr>
        <w:t>万元，支出决算为114.65万元，完成预算的</w:t>
      </w:r>
      <w:r>
        <w:rPr>
          <w:rFonts w:hint="eastAsia" w:ascii="仿宋" w:hAnsi="仿宋" w:eastAsia="仿宋"/>
          <w:color w:val="000000"/>
          <w:sz w:val="32"/>
          <w:highlight w:val="white"/>
          <w:lang w:val="en-US" w:eastAsia="zh-CN"/>
        </w:rPr>
        <w:t>75</w:t>
      </w:r>
      <w:r>
        <w:rPr>
          <w:rFonts w:hint="eastAsia" w:ascii="仿宋" w:hAnsi="仿宋" w:eastAsia="仿宋"/>
          <w:color w:val="000000"/>
          <w:sz w:val="32"/>
          <w:highlight w:val="white"/>
          <w:lang w:val="en-US"/>
        </w:rPr>
        <w:t>%</w:t>
      </w:r>
      <w:r>
        <w:rPr>
          <w:rFonts w:hint="default" w:ascii="仿宋" w:hAnsi="仿宋" w:eastAsia="仿宋"/>
          <w:color w:val="000000"/>
          <w:sz w:val="32"/>
          <w:highlight w:val="white"/>
        </w:rPr>
        <w:t>，</w:t>
      </w:r>
      <w:r>
        <w:rPr>
          <w:rFonts w:hint="eastAsia" w:ascii="仿宋" w:hAnsi="仿宋" w:eastAsia="仿宋"/>
          <w:color w:val="000000"/>
          <w:sz w:val="32"/>
          <w:highlight w:val="white"/>
          <w:lang w:val="en-US"/>
        </w:rPr>
        <w:t>2020年度</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经费支出决算数小于预算数的主要原因是</w:t>
      </w:r>
      <w:r>
        <w:rPr>
          <w:rFonts w:hint="eastAsia" w:ascii="仿宋_GB2312" w:hAnsi="仿宋_GB2312" w:eastAsia="仿宋_GB2312" w:cs="仿宋_GB2312"/>
          <w:sz w:val="32"/>
          <w:szCs w:val="32"/>
        </w:rPr>
        <w:t>严格按照“三公经费”控制数执行。</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2.</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三公</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经费一般公共预算财政拨款支出决算具体情况说明。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经费一般公共预算财政拨款支出决算中，因公出国（境）费用支出决算为0万元，占0%，与2019年度相比，增加</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万元，增长</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%，主要原因是</w:t>
      </w:r>
      <w:r>
        <w:rPr>
          <w:rFonts w:hint="eastAsia" w:ascii="仿宋" w:hAnsi="Times New Roman" w:eastAsia="仿宋" w:cs="仿宋"/>
          <w:color w:val="000000"/>
          <w:sz w:val="32"/>
          <w:szCs w:val="32"/>
          <w:highlight w:val="white"/>
        </w:rPr>
        <w:t>无因公出国（境）费用产生</w:t>
      </w:r>
      <w:r>
        <w:rPr>
          <w:rFonts w:hint="eastAsia" w:ascii="仿宋" w:hAnsi="仿宋" w:eastAsia="仿宋"/>
          <w:color w:val="000000"/>
          <w:sz w:val="32"/>
          <w:highlight w:val="white"/>
          <w:lang w:val="en-US"/>
        </w:rPr>
        <w:t>；公务用车购置及运行维护费支出决算为0万元，占0%，与2019年度相比，增加</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万元，增长</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%，主要原因是</w:t>
      </w:r>
      <w:r>
        <w:rPr>
          <w:rFonts w:hint="eastAsia" w:ascii="仿宋" w:hAnsi="仿宋" w:eastAsia="仿宋" w:cs="仿宋"/>
          <w:color w:val="000000"/>
          <w:sz w:val="31"/>
          <w:szCs w:val="31"/>
          <w:shd w:val="clear" w:color="auto" w:fill="FFFFFF"/>
        </w:rPr>
        <w:t>2020</w:t>
      </w:r>
      <w:r>
        <w:rPr>
          <w:rFonts w:ascii="仿宋" w:hAnsi="仿宋" w:eastAsia="仿宋" w:cs="仿宋"/>
          <w:color w:val="000000"/>
          <w:sz w:val="31"/>
          <w:szCs w:val="31"/>
          <w:shd w:val="clear" w:color="auto" w:fill="FFFFFF"/>
        </w:rPr>
        <w:t>年度</w:t>
      </w:r>
      <w:r>
        <w:rPr>
          <w:rFonts w:hint="eastAsia" w:ascii="仿宋" w:hAnsi="仿宋" w:eastAsia="仿宋" w:cs="仿宋"/>
          <w:color w:val="000000"/>
          <w:sz w:val="31"/>
          <w:szCs w:val="31"/>
          <w:shd w:val="clear" w:color="auto" w:fill="FFFFFF"/>
        </w:rPr>
        <w:t>未安排公务用车购置及运行维护费支出</w:t>
      </w:r>
      <w:r>
        <w:rPr>
          <w:rFonts w:hint="eastAsia" w:ascii="仿宋" w:hAnsi="仿宋" w:eastAsia="仿宋"/>
          <w:color w:val="000000"/>
          <w:sz w:val="32"/>
          <w:highlight w:val="white"/>
          <w:lang w:val="en-US"/>
        </w:rPr>
        <w:t>；公务接待费支出决算为114.65万元，占100%，与2019年度相比，减少</w:t>
      </w:r>
      <w:r>
        <w:rPr>
          <w:rFonts w:hint="eastAsia" w:ascii="仿宋" w:hAnsi="仿宋" w:eastAsia="仿宋"/>
          <w:color w:val="000000"/>
          <w:sz w:val="32"/>
          <w:highlight w:val="white"/>
          <w:lang w:val="en-US" w:eastAsia="zh-CN"/>
        </w:rPr>
        <w:t>45.91</w:t>
      </w:r>
      <w:r>
        <w:rPr>
          <w:rFonts w:hint="eastAsia" w:ascii="仿宋" w:hAnsi="仿宋" w:eastAsia="仿宋"/>
          <w:color w:val="000000"/>
          <w:sz w:val="32"/>
          <w:highlight w:val="white"/>
          <w:lang w:val="en-US"/>
        </w:rPr>
        <w:t>万元，下降</w:t>
      </w:r>
      <w:r>
        <w:rPr>
          <w:rFonts w:hint="eastAsia" w:ascii="仿宋" w:hAnsi="仿宋" w:eastAsia="仿宋"/>
          <w:color w:val="000000"/>
          <w:sz w:val="32"/>
          <w:highlight w:val="white"/>
          <w:lang w:val="en-US" w:eastAsia="zh-CN"/>
        </w:rPr>
        <w:t xml:space="preserve">28 </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2020年因疫情爆发，公务接待减少</w:t>
      </w:r>
      <w:r>
        <w:rPr>
          <w:rFonts w:hint="eastAsia" w:ascii="仿宋" w:hAnsi="仿宋" w:eastAsia="仿宋"/>
          <w:color w:val="000000"/>
          <w:sz w:val="32"/>
          <w:highlight w:val="white"/>
          <w:lang w:val="en-US"/>
        </w:rPr>
        <w:t>。具体情况如下：</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（1）因公出国（境）费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%。主要用于机关及下属预算单位人员的公务出国（境）的住宿费、国际旅费、培训费、公杂费等支出。决算数</w:t>
      </w:r>
      <w:r>
        <w:rPr>
          <w:rFonts w:hint="default" w:ascii="仿宋" w:hAnsi="仿宋" w:eastAsia="仿宋"/>
          <w:color w:val="000000"/>
          <w:sz w:val="32"/>
          <w:highlight w:val="white"/>
        </w:rPr>
        <w:t>等于</w:t>
      </w:r>
      <w:r>
        <w:rPr>
          <w:rFonts w:hint="eastAsia" w:ascii="仿宋" w:hAnsi="仿宋" w:eastAsia="仿宋"/>
          <w:color w:val="000000"/>
          <w:sz w:val="32"/>
          <w:highlight w:val="white"/>
          <w:lang w:val="en-US"/>
        </w:rPr>
        <w:t>预算数的主要原因是</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因公出国（境）费。全年使用一般公共预算财政拨款支出涉及因公出国(境)团组0个；累计</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人次。开支内容包括：</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w:t>
      </w:r>
    </w:p>
    <w:p>
      <w:pPr>
        <w:spacing w:beforeLines="0" w:afterLines="0" w:line="324" w:lineRule="auto"/>
        <w:ind w:firstLine="594"/>
        <w:rPr>
          <w:rFonts w:hint="default" w:ascii="仿宋" w:hAnsi="仿宋" w:eastAsia="仿宋"/>
          <w:color w:val="000000"/>
          <w:sz w:val="32"/>
          <w:highlight w:val="white"/>
        </w:rPr>
      </w:pPr>
      <w:r>
        <w:rPr>
          <w:rFonts w:hint="eastAsia" w:ascii="仿宋" w:hAnsi="仿宋" w:eastAsia="仿宋"/>
          <w:color w:val="000000"/>
          <w:sz w:val="32"/>
          <w:highlight w:val="white"/>
          <w:lang w:val="en-US"/>
        </w:rPr>
        <w:t>（2）</w:t>
      </w:r>
      <w:r>
        <w:rPr>
          <w:rFonts w:hint="eastAsia" w:ascii="仿宋" w:hAnsi="仿宋" w:eastAsia="仿宋"/>
          <w:b/>
          <w:color w:val="000000"/>
          <w:sz w:val="32"/>
          <w:highlight w:val="white"/>
          <w:lang w:val="en-US"/>
        </w:rPr>
        <w:t>公务用车购置及运行维护费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万元，支出决算为0万元，完成预算的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w:t>
      </w:r>
      <w:r>
        <w:rPr>
          <w:rFonts w:hint="eastAsia" w:ascii="仿宋" w:hAnsi="Times New Roman" w:eastAsia="仿宋" w:cs="仿宋"/>
          <w:color w:val="000000"/>
          <w:sz w:val="32"/>
          <w:szCs w:val="32"/>
          <w:highlight w:val="white"/>
        </w:rPr>
        <w:t>决算数等于预算数的主要原因是</w:t>
      </w:r>
      <w:r>
        <w:rPr>
          <w:rFonts w:hint="eastAsia" w:ascii="仿宋" w:hAnsi="仿宋" w:eastAsia="仿宋" w:cs="仿宋"/>
          <w:color w:val="000000"/>
          <w:sz w:val="31"/>
          <w:szCs w:val="31"/>
          <w:shd w:val="clear" w:color="auto" w:fill="FFFFFF"/>
        </w:rPr>
        <w:t>2020</w:t>
      </w:r>
      <w:r>
        <w:rPr>
          <w:rFonts w:ascii="仿宋" w:hAnsi="仿宋" w:eastAsia="仿宋" w:cs="仿宋"/>
          <w:color w:val="000000"/>
          <w:sz w:val="31"/>
          <w:szCs w:val="31"/>
          <w:shd w:val="clear" w:color="auto" w:fill="FFFFFF"/>
        </w:rPr>
        <w:t>年</w:t>
      </w:r>
      <w:r>
        <w:rPr>
          <w:rFonts w:hint="eastAsia" w:ascii="仿宋" w:hAnsi="仿宋" w:eastAsia="仿宋" w:cs="仿宋"/>
          <w:color w:val="000000"/>
          <w:sz w:val="31"/>
          <w:szCs w:val="31"/>
          <w:shd w:val="clear" w:color="auto" w:fill="FFFFFF"/>
        </w:rPr>
        <w:t>没有</w:t>
      </w:r>
      <w:r>
        <w:rPr>
          <w:rFonts w:hint="default" w:ascii="仿宋" w:hAnsi="Times New Roman" w:eastAsia="仿宋" w:cs="仿宋"/>
          <w:color w:val="000000"/>
          <w:sz w:val="32"/>
          <w:szCs w:val="32"/>
          <w:highlight w:val="white"/>
        </w:rPr>
        <w:t>预算安排与实际支出。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公务用车购置</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万元（含购置税等附加费用），完成预算的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w:t>
      </w:r>
      <w:r>
        <w:rPr>
          <w:rFonts w:hint="eastAsia" w:ascii="仿宋" w:hAnsi="Times New Roman" w:eastAsia="仿宋" w:cs="仿宋"/>
          <w:color w:val="000000"/>
          <w:sz w:val="32"/>
          <w:szCs w:val="32"/>
          <w:highlight w:val="white"/>
        </w:rPr>
        <w:t>决算数等于预算数的主要原因是</w:t>
      </w:r>
      <w:r>
        <w:rPr>
          <w:rFonts w:hint="eastAsia" w:ascii="仿宋" w:hAnsi="仿宋" w:eastAsia="仿宋" w:cs="仿宋"/>
          <w:color w:val="000000"/>
          <w:sz w:val="31"/>
          <w:szCs w:val="31"/>
          <w:shd w:val="clear" w:color="auto" w:fill="FFFFFF"/>
        </w:rPr>
        <w:t>2020</w:t>
      </w:r>
      <w:r>
        <w:rPr>
          <w:rFonts w:ascii="仿宋" w:hAnsi="仿宋" w:eastAsia="仿宋" w:cs="仿宋"/>
          <w:color w:val="000000"/>
          <w:sz w:val="31"/>
          <w:szCs w:val="31"/>
          <w:shd w:val="clear" w:color="auto" w:fill="FFFFFF"/>
        </w:rPr>
        <w:t>年</w:t>
      </w:r>
      <w:r>
        <w:rPr>
          <w:rFonts w:hint="eastAsia" w:ascii="仿宋" w:hAnsi="仿宋" w:eastAsia="仿宋" w:cs="仿宋"/>
          <w:color w:val="000000"/>
          <w:sz w:val="31"/>
          <w:szCs w:val="31"/>
          <w:shd w:val="clear" w:color="auto" w:fill="FFFFFF"/>
        </w:rPr>
        <w:t>没有</w:t>
      </w:r>
      <w:r>
        <w:rPr>
          <w:rFonts w:hint="eastAsia" w:ascii="仿宋" w:hAnsi="Times New Roman" w:eastAsia="仿宋" w:cs="仿宋"/>
          <w:color w:val="000000"/>
          <w:sz w:val="32"/>
          <w:szCs w:val="32"/>
          <w:highlight w:val="white"/>
        </w:rPr>
        <w:t>安排公务用车购置支出</w:t>
      </w:r>
      <w:r>
        <w:rPr>
          <w:rFonts w:hint="eastAsia" w:ascii="仿宋" w:hAnsi="仿宋" w:eastAsia="仿宋"/>
          <w:color w:val="000000"/>
          <w:sz w:val="32"/>
          <w:highlight w:val="white"/>
          <w:lang w:val="en-US"/>
        </w:rPr>
        <w:t>。主要用于经批准购置的</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辆公务用车；</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公务用车运行维护费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w:t>
      </w:r>
      <w:r>
        <w:rPr>
          <w:rFonts w:hint="eastAsia" w:ascii="仿宋" w:hAnsi="Times New Roman" w:eastAsia="仿宋" w:cs="仿宋"/>
          <w:color w:val="000000"/>
          <w:sz w:val="32"/>
          <w:szCs w:val="32"/>
          <w:highlight w:val="white"/>
        </w:rPr>
        <w:t>决算数等于预算数的主要原因是</w:t>
      </w:r>
      <w:r>
        <w:rPr>
          <w:rFonts w:hint="eastAsia" w:ascii="仿宋" w:hAnsi="仿宋" w:eastAsia="仿宋" w:cs="仿宋"/>
          <w:color w:val="000000"/>
          <w:sz w:val="31"/>
          <w:szCs w:val="31"/>
          <w:shd w:val="clear" w:color="auto" w:fill="FFFFFF"/>
        </w:rPr>
        <w:t>2020</w:t>
      </w:r>
      <w:r>
        <w:rPr>
          <w:rFonts w:ascii="仿宋" w:hAnsi="仿宋" w:eastAsia="仿宋" w:cs="仿宋"/>
          <w:color w:val="000000"/>
          <w:sz w:val="31"/>
          <w:szCs w:val="31"/>
          <w:shd w:val="clear" w:color="auto" w:fill="FFFFFF"/>
        </w:rPr>
        <w:t>年</w:t>
      </w:r>
      <w:r>
        <w:rPr>
          <w:rFonts w:hint="eastAsia" w:ascii="仿宋" w:hAnsi="仿宋" w:eastAsia="仿宋" w:cs="仿宋"/>
          <w:color w:val="000000"/>
          <w:sz w:val="31"/>
          <w:szCs w:val="31"/>
          <w:shd w:val="clear" w:color="auto" w:fill="FFFFFF"/>
        </w:rPr>
        <w:t>没有</w:t>
      </w:r>
      <w:r>
        <w:rPr>
          <w:rFonts w:hint="eastAsia" w:ascii="仿宋" w:hAnsi="Times New Roman" w:eastAsia="仿宋" w:cs="仿宋"/>
          <w:color w:val="000000"/>
          <w:sz w:val="32"/>
          <w:szCs w:val="32"/>
          <w:highlight w:val="white"/>
        </w:rPr>
        <w:t>安排公务用车运行维护费支出。</w:t>
      </w:r>
      <w:r>
        <w:rPr>
          <w:rFonts w:hint="eastAsia" w:ascii="仿宋" w:hAnsi="仿宋" w:eastAsia="仿宋"/>
          <w:color w:val="000000"/>
          <w:sz w:val="32"/>
          <w:highlight w:val="white"/>
          <w:lang w:val="en-US"/>
        </w:rPr>
        <w:t>主要用于所需的公务用车燃料费、维修费、过路过桥费、保险费、安全奖励费用等支出；2020年度，本级及所属单位开支一般公共预算财政拨款的公务用车保有量为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辆。</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（3）公务接待费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152.53</w:t>
      </w:r>
      <w:r>
        <w:rPr>
          <w:rFonts w:hint="eastAsia" w:ascii="仿宋" w:hAnsi="仿宋" w:eastAsia="仿宋"/>
          <w:color w:val="000000"/>
          <w:sz w:val="32"/>
          <w:highlight w:val="white"/>
          <w:lang w:val="en-US"/>
        </w:rPr>
        <w:t>万元，支出决算为114.65万元，完成预算的</w:t>
      </w:r>
      <w:r>
        <w:rPr>
          <w:rFonts w:hint="eastAsia" w:ascii="仿宋" w:hAnsi="仿宋" w:eastAsia="仿宋"/>
          <w:color w:val="000000"/>
          <w:sz w:val="32"/>
          <w:highlight w:val="white"/>
          <w:lang w:val="en-US" w:eastAsia="zh-CN"/>
        </w:rPr>
        <w:t>75</w:t>
      </w:r>
      <w:r>
        <w:rPr>
          <w:rFonts w:hint="eastAsia" w:ascii="仿宋" w:hAnsi="仿宋" w:eastAsia="仿宋"/>
          <w:color w:val="000000"/>
          <w:sz w:val="32"/>
          <w:highlight w:val="white"/>
          <w:lang w:val="en-US"/>
        </w:rPr>
        <w:t>%。</w:t>
      </w:r>
      <w:r>
        <w:rPr>
          <w:rFonts w:hint="eastAsia" w:ascii="仿宋" w:hAnsi="Times New Roman" w:eastAsia="仿宋" w:cs="仿宋"/>
          <w:color w:val="000000"/>
          <w:sz w:val="32"/>
          <w:szCs w:val="32"/>
          <w:highlight w:val="white"/>
        </w:rPr>
        <w:t>主要用于</w:t>
      </w:r>
      <w:r>
        <w:rPr>
          <w:rFonts w:hint="eastAsia" w:ascii="仿宋" w:hAnsi="Times New Roman" w:eastAsia="仿宋" w:cs="仿宋"/>
          <w:color w:val="000000"/>
          <w:sz w:val="32"/>
          <w:szCs w:val="32"/>
        </w:rPr>
        <w:t>接待</w:t>
      </w:r>
      <w:r>
        <w:rPr>
          <w:rFonts w:hint="eastAsia" w:ascii="仿宋_GB2312" w:eastAsia="仿宋_GB2312" w:cs="仿宋_GB2312"/>
          <w:color w:val="000000"/>
          <w:sz w:val="32"/>
          <w:szCs w:val="32"/>
          <w:lang w:eastAsia="zh-CN"/>
        </w:rPr>
        <w:t>县委县政府</w:t>
      </w:r>
      <w:r>
        <w:rPr>
          <w:rFonts w:hint="eastAsia" w:ascii="仿宋_GB2312" w:eastAsia="仿宋_GB2312" w:cs="仿宋_GB2312"/>
          <w:color w:val="000000"/>
          <w:sz w:val="32"/>
          <w:szCs w:val="32"/>
        </w:rPr>
        <w:t>的上级来宾，兄弟县市的</w:t>
      </w:r>
      <w:r>
        <w:rPr>
          <w:rFonts w:hint="eastAsia" w:ascii="仿宋_GB2312" w:eastAsia="仿宋_GB2312" w:cs="仿宋_GB2312"/>
          <w:color w:val="000000"/>
          <w:sz w:val="32"/>
          <w:szCs w:val="32"/>
          <w:lang w:eastAsia="zh-CN"/>
        </w:rPr>
        <w:t>县委县政府</w:t>
      </w:r>
      <w:r>
        <w:rPr>
          <w:rFonts w:hint="eastAsia" w:ascii="仿宋_GB2312" w:eastAsia="仿宋_GB2312" w:cs="仿宋_GB2312"/>
          <w:color w:val="000000"/>
          <w:sz w:val="32"/>
          <w:szCs w:val="32"/>
        </w:rPr>
        <w:t>来宾，</w:t>
      </w:r>
      <w:r>
        <w:rPr>
          <w:rFonts w:hint="eastAsia" w:ascii="仿宋_GB2312" w:eastAsia="仿宋_GB2312" w:cs="仿宋_GB2312"/>
          <w:color w:val="000000"/>
          <w:sz w:val="32"/>
          <w:szCs w:val="32"/>
          <w:lang w:eastAsia="zh-CN"/>
        </w:rPr>
        <w:t>县委县政府</w:t>
      </w:r>
      <w:r>
        <w:rPr>
          <w:rFonts w:hint="eastAsia" w:ascii="仿宋_GB2312" w:eastAsia="仿宋_GB2312" w:cs="仿宋_GB2312"/>
          <w:color w:val="000000"/>
          <w:sz w:val="32"/>
          <w:szCs w:val="32"/>
        </w:rPr>
        <w:t>领导批准的其他重要来宾，县级大型会议和重要活动的接待等</w:t>
      </w:r>
      <w:r>
        <w:rPr>
          <w:rFonts w:hint="eastAsia" w:ascii="仿宋" w:hAnsi="仿宋" w:eastAsia="仿宋"/>
          <w:color w:val="000000"/>
          <w:sz w:val="32"/>
          <w:highlight w:val="white"/>
          <w:lang w:val="en-US"/>
        </w:rPr>
        <w:t>支出。决算数小于预算数的主要原因是</w:t>
      </w:r>
      <w:r>
        <w:rPr>
          <w:rFonts w:hint="eastAsia" w:ascii="仿宋" w:hAnsi="仿宋" w:eastAsia="仿宋"/>
          <w:color w:val="000000"/>
          <w:sz w:val="32"/>
          <w:highlight w:val="white"/>
          <w:lang w:val="en-US" w:eastAsia="zh-CN"/>
        </w:rPr>
        <w:t>2020年因疫情爆发，公务接待减少。</w:t>
      </w:r>
      <w:r>
        <w:rPr>
          <w:rFonts w:hint="eastAsia" w:ascii="仿宋" w:hAnsi="仿宋" w:eastAsia="仿宋"/>
          <w:color w:val="000000"/>
          <w:sz w:val="32"/>
          <w:highlight w:val="white"/>
          <w:lang w:val="en-US"/>
        </w:rPr>
        <w:t>全年使用一般公共预算财政拨款国内公务接待</w:t>
      </w:r>
      <w:r>
        <w:rPr>
          <w:rFonts w:hint="eastAsia" w:ascii="仿宋" w:hAnsi="仿宋" w:eastAsia="仿宋"/>
          <w:color w:val="000000"/>
          <w:sz w:val="32"/>
          <w:highlight w:val="white"/>
          <w:lang w:val="en-US" w:eastAsia="zh-CN"/>
        </w:rPr>
        <w:t>285</w:t>
      </w:r>
      <w:r>
        <w:rPr>
          <w:rFonts w:hint="eastAsia" w:ascii="仿宋" w:hAnsi="仿宋" w:eastAsia="仿宋"/>
          <w:color w:val="000000"/>
          <w:sz w:val="32"/>
          <w:highlight w:val="white"/>
          <w:lang w:val="en-US"/>
        </w:rPr>
        <w:t>团组，累计</w:t>
      </w:r>
      <w:r>
        <w:rPr>
          <w:rFonts w:hint="eastAsia" w:ascii="仿宋" w:hAnsi="仿宋" w:eastAsia="仿宋"/>
          <w:color w:val="000000"/>
          <w:sz w:val="32"/>
          <w:highlight w:val="white"/>
          <w:lang w:val="en-US" w:eastAsia="zh-CN"/>
        </w:rPr>
        <w:t>8500</w:t>
      </w:r>
      <w:r>
        <w:rPr>
          <w:rFonts w:hint="eastAsia" w:ascii="仿宋" w:hAnsi="仿宋" w:eastAsia="仿宋"/>
          <w:color w:val="000000"/>
          <w:sz w:val="32"/>
          <w:highlight w:val="white"/>
          <w:lang w:val="en-US"/>
        </w:rPr>
        <w:t>人次。</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外宾接待</w:t>
      </w:r>
      <w:r>
        <w:rPr>
          <w:rFonts w:hint="eastAsia" w:ascii="仿宋" w:hAnsi="仿宋" w:eastAsia="仿宋"/>
          <w:color w:val="000000"/>
          <w:sz w:val="32"/>
          <w:highlight w:val="white"/>
          <w:lang w:val="en-US"/>
        </w:rPr>
        <w:t>支出0万元，主要用于接待0团组，0人次。</w:t>
      </w:r>
    </w:p>
    <w:p>
      <w:pPr>
        <w:spacing w:beforeLines="0" w:afterLines="0" w:line="324" w:lineRule="auto"/>
        <w:ind w:firstLine="594"/>
        <w:rPr>
          <w:rFonts w:hint="default" w:ascii="仿宋" w:hAnsi="仿宋" w:eastAsia="仿宋"/>
          <w:color w:val="000000"/>
          <w:sz w:val="32"/>
          <w:highlight w:val="white"/>
          <w:lang w:val="en-US"/>
        </w:rPr>
      </w:pPr>
      <w:r>
        <w:rPr>
          <w:rFonts w:hint="eastAsia" w:ascii="仿宋" w:hAnsi="仿宋" w:eastAsia="仿宋"/>
          <w:b/>
          <w:color w:val="000000"/>
          <w:sz w:val="32"/>
          <w:highlight w:val="white"/>
          <w:lang w:val="en-US"/>
        </w:rPr>
        <w:t>其他国内公务接待</w:t>
      </w:r>
      <w:r>
        <w:rPr>
          <w:rFonts w:hint="eastAsia" w:ascii="仿宋" w:hAnsi="仿宋" w:eastAsia="仿宋"/>
          <w:color w:val="000000"/>
          <w:sz w:val="32"/>
          <w:highlight w:val="white"/>
          <w:lang w:val="en-US"/>
        </w:rPr>
        <w:t>支出114.65万元，主要用于</w:t>
      </w:r>
      <w:r>
        <w:rPr>
          <w:rFonts w:hint="eastAsia" w:ascii="仿宋" w:hAnsi="仿宋" w:eastAsia="仿宋"/>
          <w:color w:val="000000"/>
          <w:sz w:val="32"/>
          <w:highlight w:val="white"/>
          <w:lang w:val="en-US" w:eastAsia="zh-CN"/>
        </w:rPr>
        <w:t>接</w:t>
      </w:r>
      <w:r>
        <w:rPr>
          <w:rFonts w:hint="eastAsia" w:ascii="仿宋" w:hAnsi="仿宋" w:eastAsia="仿宋"/>
          <w:color w:val="000000"/>
          <w:sz w:val="32"/>
          <w:highlight w:val="white"/>
          <w:lang w:val="en-US"/>
        </w:rPr>
        <w:t>待</w:t>
      </w:r>
      <w:r>
        <w:rPr>
          <w:rFonts w:hint="eastAsia" w:ascii="仿宋" w:hAnsi="仿宋" w:eastAsia="仿宋"/>
          <w:color w:val="000000"/>
          <w:sz w:val="32"/>
          <w:highlight w:val="white"/>
          <w:lang w:val="en-US" w:eastAsia="zh-CN"/>
        </w:rPr>
        <w:t>县委县政府</w:t>
      </w:r>
      <w:r>
        <w:rPr>
          <w:rFonts w:hint="eastAsia" w:ascii="仿宋" w:hAnsi="仿宋" w:eastAsia="仿宋"/>
          <w:color w:val="000000"/>
          <w:sz w:val="32"/>
          <w:highlight w:val="white"/>
          <w:lang w:val="en-US"/>
        </w:rPr>
        <w:t>的上级来宾，兄弟县市的</w:t>
      </w:r>
      <w:r>
        <w:rPr>
          <w:rFonts w:hint="eastAsia" w:ascii="仿宋" w:hAnsi="仿宋" w:eastAsia="仿宋"/>
          <w:color w:val="000000"/>
          <w:sz w:val="32"/>
          <w:highlight w:val="white"/>
          <w:lang w:val="en-US" w:eastAsia="zh-CN"/>
        </w:rPr>
        <w:t>县委县政府</w:t>
      </w:r>
      <w:r>
        <w:rPr>
          <w:rFonts w:hint="eastAsia" w:ascii="仿宋" w:hAnsi="仿宋" w:eastAsia="仿宋"/>
          <w:color w:val="000000"/>
          <w:sz w:val="32"/>
          <w:highlight w:val="white"/>
          <w:lang w:val="en-US"/>
        </w:rPr>
        <w:t>来宾，</w:t>
      </w:r>
      <w:r>
        <w:rPr>
          <w:rFonts w:hint="eastAsia" w:ascii="仿宋" w:hAnsi="仿宋" w:eastAsia="仿宋"/>
          <w:color w:val="000000"/>
          <w:sz w:val="32"/>
          <w:highlight w:val="white"/>
          <w:lang w:val="en-US" w:eastAsia="zh-CN"/>
        </w:rPr>
        <w:t>县委县政府</w:t>
      </w:r>
      <w:r>
        <w:rPr>
          <w:rFonts w:hint="eastAsia" w:ascii="仿宋" w:hAnsi="仿宋" w:eastAsia="仿宋"/>
          <w:color w:val="000000"/>
          <w:sz w:val="32"/>
          <w:highlight w:val="white"/>
          <w:lang w:val="en-US"/>
        </w:rPr>
        <w:t>领导批准的其他重要来宾，县级大型会议和重要活动的接待</w:t>
      </w:r>
      <w:r>
        <w:rPr>
          <w:rFonts w:hint="eastAsia" w:ascii="仿宋" w:hAnsi="仿宋" w:eastAsia="仿宋"/>
          <w:color w:val="000000"/>
          <w:sz w:val="32"/>
          <w:highlight w:val="white"/>
          <w:lang w:val="en-US" w:eastAsia="zh-CN"/>
        </w:rPr>
        <w:t>。</w:t>
      </w:r>
      <w:r>
        <w:rPr>
          <w:rFonts w:hint="eastAsia" w:ascii="仿宋" w:hAnsi="仿宋" w:eastAsia="仿宋"/>
          <w:color w:val="000000"/>
          <w:sz w:val="32"/>
          <w:highlight w:val="white"/>
          <w:lang w:val="en-US"/>
        </w:rPr>
        <w:t>接待</w:t>
      </w:r>
      <w:r>
        <w:rPr>
          <w:rFonts w:hint="eastAsia" w:ascii="仿宋" w:hAnsi="仿宋" w:eastAsia="仿宋"/>
          <w:color w:val="000000"/>
          <w:sz w:val="32"/>
          <w:highlight w:val="white"/>
          <w:lang w:val="en-US" w:eastAsia="zh-CN"/>
        </w:rPr>
        <w:t>285</w:t>
      </w:r>
      <w:r>
        <w:rPr>
          <w:rFonts w:hint="eastAsia" w:ascii="仿宋" w:hAnsi="仿宋" w:eastAsia="仿宋"/>
          <w:color w:val="000000"/>
          <w:sz w:val="32"/>
          <w:highlight w:val="white"/>
          <w:lang w:val="en-US"/>
        </w:rPr>
        <w:t>团组，</w:t>
      </w:r>
      <w:r>
        <w:rPr>
          <w:rFonts w:hint="eastAsia" w:ascii="仿宋" w:hAnsi="仿宋" w:eastAsia="仿宋"/>
          <w:color w:val="000000"/>
          <w:sz w:val="32"/>
          <w:highlight w:val="white"/>
          <w:lang w:val="en-US" w:eastAsia="zh-CN"/>
        </w:rPr>
        <w:t>8500</w:t>
      </w:r>
      <w:r>
        <w:rPr>
          <w:rFonts w:hint="eastAsia" w:ascii="仿宋" w:hAnsi="仿宋" w:eastAsia="仿宋"/>
          <w:color w:val="000000"/>
          <w:sz w:val="32"/>
          <w:highlight w:val="white"/>
          <w:lang w:val="en-US"/>
        </w:rPr>
        <w:t>人次。</w:t>
      </w:r>
    </w:p>
    <w:p>
      <w:pPr>
        <w:spacing w:beforeLines="0" w:afterLines="0" w:line="324" w:lineRule="auto"/>
        <w:ind w:firstLine="594"/>
        <w:rPr>
          <w:rFonts w:hint="eastAsia" w:ascii="仿宋" w:hAnsi="仿宋" w:eastAsia="仿宋"/>
          <w:color w:val="000000"/>
          <w:sz w:val="32"/>
          <w:highlight w:val="white"/>
          <w:lang w:val="en-US"/>
        </w:rPr>
      </w:pPr>
      <w:r>
        <w:rPr>
          <w:rFonts w:hint="eastAsia" w:ascii="楷体" w:hAnsi="楷体" w:eastAsia="楷体"/>
          <w:b/>
          <w:color w:val="000000"/>
          <w:sz w:val="32"/>
          <w:highlight w:val="white"/>
          <w:lang w:val="en-US"/>
        </w:rPr>
        <w:t>（十）机关运行经费支出说明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2020年度机关运行经费年初预算数为</w:t>
      </w:r>
      <w:r>
        <w:rPr>
          <w:rFonts w:hint="eastAsia" w:ascii="仿宋" w:hAnsi="仿宋" w:eastAsia="仿宋"/>
          <w:color w:val="000000"/>
          <w:sz w:val="32"/>
          <w:highlight w:val="white"/>
          <w:lang w:val="en-US" w:eastAsia="zh-CN"/>
        </w:rPr>
        <w:t xml:space="preserve">59.21 </w:t>
      </w:r>
      <w:r>
        <w:rPr>
          <w:rFonts w:hint="eastAsia" w:ascii="仿宋" w:hAnsi="仿宋" w:eastAsia="仿宋"/>
          <w:color w:val="000000"/>
          <w:sz w:val="32"/>
          <w:highlight w:val="white"/>
          <w:lang w:val="en-US"/>
        </w:rPr>
        <w:t>万元，支出决算为408.96万元，完成年初预算的</w:t>
      </w:r>
      <w:r>
        <w:rPr>
          <w:rFonts w:hint="eastAsia" w:ascii="仿宋" w:hAnsi="仿宋" w:eastAsia="仿宋"/>
          <w:color w:val="000000"/>
          <w:sz w:val="32"/>
          <w:highlight w:val="white"/>
          <w:lang w:val="en-US" w:eastAsia="zh-CN"/>
        </w:rPr>
        <w:t>690</w:t>
      </w:r>
      <w:r>
        <w:rPr>
          <w:rFonts w:hint="eastAsia" w:ascii="仿宋" w:hAnsi="仿宋" w:eastAsia="仿宋"/>
          <w:color w:val="000000"/>
          <w:sz w:val="32"/>
          <w:highlight w:val="white"/>
          <w:lang w:val="en-US"/>
        </w:rPr>
        <w:t>%，决算数大于预算数的主要原因</w:t>
      </w:r>
      <w:r>
        <w:rPr>
          <w:rFonts w:hint="eastAsia" w:ascii="仿宋" w:hAnsi="仿宋" w:eastAsia="仿宋"/>
          <w:color w:val="000000"/>
          <w:sz w:val="32"/>
          <w:highlight w:val="white"/>
          <w:lang w:val="en-US" w:eastAsia="zh-CN"/>
        </w:rPr>
        <w:t>增加疫情资金等专项支出</w:t>
      </w:r>
      <w:r>
        <w:rPr>
          <w:rFonts w:hint="eastAsia" w:ascii="仿宋" w:hAnsi="仿宋" w:eastAsia="仿宋"/>
          <w:color w:val="000000"/>
          <w:sz w:val="32"/>
          <w:highlight w:val="white"/>
          <w:lang w:val="en-US"/>
        </w:rPr>
        <w:t>；比2019年度增加</w:t>
      </w:r>
      <w:r>
        <w:rPr>
          <w:rFonts w:hint="eastAsia" w:ascii="仿宋" w:hAnsi="仿宋" w:eastAsia="仿宋"/>
          <w:color w:val="000000"/>
          <w:sz w:val="32"/>
          <w:highlight w:val="white"/>
          <w:lang w:val="en-US" w:eastAsia="zh-CN"/>
        </w:rPr>
        <w:t>377.64</w:t>
      </w:r>
      <w:r>
        <w:rPr>
          <w:rFonts w:hint="eastAsia" w:ascii="仿宋" w:hAnsi="仿宋" w:eastAsia="仿宋"/>
          <w:color w:val="000000"/>
          <w:sz w:val="32"/>
          <w:highlight w:val="white"/>
          <w:lang w:val="en-US"/>
        </w:rPr>
        <w:t>万元，增长</w:t>
      </w:r>
      <w:r>
        <w:rPr>
          <w:rFonts w:hint="eastAsia" w:ascii="仿宋" w:hAnsi="仿宋" w:eastAsia="仿宋"/>
          <w:color w:val="000000"/>
          <w:sz w:val="32"/>
          <w:highlight w:val="white"/>
          <w:lang w:val="en-US" w:eastAsia="zh-CN"/>
        </w:rPr>
        <w:t>120</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增加疫情资金等专项支出</w:t>
      </w:r>
      <w:r>
        <w:rPr>
          <w:rFonts w:hint="eastAsia" w:ascii="仿宋" w:hAnsi="仿宋" w:eastAsia="仿宋"/>
          <w:color w:val="000000"/>
          <w:sz w:val="32"/>
          <w:highlight w:val="white"/>
          <w:lang w:val="en-US"/>
        </w:rPr>
        <w:t>。</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（十一）政府采购支出说明</w:t>
      </w:r>
    </w:p>
    <w:p>
      <w:pPr>
        <w:spacing w:beforeLines="0" w:afterLines="0" w:line="324" w:lineRule="auto"/>
        <w:ind w:firstLine="594"/>
        <w:rPr>
          <w:rFonts w:hint="eastAsia" w:ascii="仿宋" w:hAnsi="仿宋" w:eastAsia="仿宋"/>
          <w:color w:val="auto"/>
          <w:sz w:val="32"/>
          <w:highlight w:val="white"/>
          <w:lang w:val="en-US"/>
        </w:rPr>
      </w:pPr>
      <w:r>
        <w:rPr>
          <w:rFonts w:hint="eastAsia" w:ascii="仿宋" w:hAnsi="仿宋" w:eastAsia="仿宋"/>
          <w:color w:val="000000"/>
          <w:sz w:val="32"/>
          <w:highlight w:val="white"/>
          <w:lang w:val="en-US"/>
        </w:rPr>
        <w:t>2020年度政府采购支出总额</w:t>
      </w:r>
      <w:r>
        <w:rPr>
          <w:rFonts w:hint="eastAsia" w:ascii="仿宋" w:hAnsi="仿宋" w:eastAsia="仿宋"/>
          <w:color w:val="auto"/>
          <w:kern w:val="0"/>
          <w:sz w:val="32"/>
          <w:highlight w:val="white"/>
          <w:lang w:val="en-US"/>
        </w:rPr>
        <w:t>24.01</w:t>
      </w:r>
      <w:r>
        <w:rPr>
          <w:rFonts w:hint="eastAsia" w:ascii="仿宋" w:hAnsi="仿宋" w:eastAsia="仿宋"/>
          <w:color w:val="000000"/>
          <w:sz w:val="32"/>
          <w:highlight w:val="white"/>
          <w:lang w:val="en-US"/>
        </w:rPr>
        <w:t>万元，其中：政府采购货物支出</w:t>
      </w:r>
      <w:r>
        <w:rPr>
          <w:rFonts w:hint="eastAsia" w:ascii="仿宋" w:hAnsi="仿宋" w:eastAsia="仿宋"/>
          <w:color w:val="auto"/>
          <w:kern w:val="0"/>
          <w:sz w:val="32"/>
          <w:highlight w:val="white"/>
          <w:lang w:val="en-US"/>
        </w:rPr>
        <w:t>24.01</w:t>
      </w:r>
      <w:r>
        <w:rPr>
          <w:rFonts w:hint="eastAsia" w:ascii="仿宋" w:hAnsi="仿宋" w:eastAsia="仿宋"/>
          <w:color w:val="000000"/>
          <w:sz w:val="32"/>
          <w:highlight w:val="white"/>
          <w:lang w:val="en-US"/>
        </w:rPr>
        <w:t>万元、政府采购工程支出</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万元、政府采购服务支出</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w:t>
      </w:r>
      <w:r>
        <w:rPr>
          <w:rFonts w:hint="eastAsia" w:ascii="仿宋" w:hAnsi="仿宋" w:eastAsia="仿宋"/>
          <w:color w:val="auto"/>
          <w:sz w:val="32"/>
          <w:highlight w:val="white"/>
          <w:lang w:val="en-US"/>
        </w:rPr>
        <w:t>授予中小企业合同金额</w:t>
      </w:r>
      <w:r>
        <w:rPr>
          <w:rFonts w:hint="eastAsia" w:ascii="仿宋" w:hAnsi="仿宋" w:eastAsia="仿宋"/>
          <w:color w:val="auto"/>
          <w:kern w:val="0"/>
          <w:sz w:val="32"/>
          <w:highlight w:val="white"/>
          <w:lang w:val="en-US"/>
        </w:rPr>
        <w:t>24.01</w:t>
      </w:r>
      <w:r>
        <w:rPr>
          <w:rFonts w:hint="eastAsia" w:ascii="仿宋" w:hAnsi="仿宋" w:eastAsia="仿宋"/>
          <w:color w:val="auto"/>
          <w:sz w:val="32"/>
          <w:highlight w:val="white"/>
          <w:lang w:val="en-US"/>
        </w:rPr>
        <w:t>万元，占政府采购支出总额的</w:t>
      </w:r>
      <w:r>
        <w:rPr>
          <w:rFonts w:hint="eastAsia" w:ascii="仿宋" w:hAnsi="仿宋" w:eastAsia="仿宋"/>
          <w:color w:val="auto"/>
          <w:kern w:val="0"/>
          <w:sz w:val="32"/>
          <w:highlight w:val="white"/>
          <w:lang w:val="en-US"/>
        </w:rPr>
        <w:t>100</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其中，授予小微企业合同金额</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万元，占政府采购支出总额的</w:t>
      </w:r>
      <w:r>
        <w:rPr>
          <w:rFonts w:hint="eastAsia" w:ascii="仿宋" w:hAnsi="仿宋" w:eastAsia="仿宋"/>
          <w:color w:val="auto"/>
          <w:kern w:val="0"/>
          <w:sz w:val="32"/>
          <w:highlight w:val="white"/>
          <w:lang w:val="en-US"/>
        </w:rPr>
        <w:t>0</w:t>
      </w:r>
      <w:r>
        <w:rPr>
          <w:rFonts w:hint="eastAsia" w:ascii="仿宋" w:hAnsi="仿宋" w:eastAsia="仿宋"/>
          <w:color w:val="auto"/>
          <w:sz w:val="32"/>
          <w:highlight w:val="white"/>
          <w:lang w:val="en-US"/>
        </w:rPr>
        <w:t>%。</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（十二）国有资产占有情况说明</w:t>
      </w:r>
    </w:p>
    <w:p>
      <w:pPr>
        <w:spacing w:beforeLines="0" w:afterLines="0" w:line="324" w:lineRule="auto"/>
        <w:ind w:firstLine="594"/>
        <w:rPr>
          <w:rFonts w:hint="eastAsia" w:ascii="楷体" w:hAnsi="楷体" w:eastAsia="楷体"/>
          <w:b/>
          <w:color w:val="000000"/>
          <w:sz w:val="32"/>
          <w:highlight w:val="white"/>
          <w:lang w:val="en-US"/>
        </w:rPr>
      </w:pPr>
      <w:r>
        <w:rPr>
          <w:rFonts w:hint="eastAsia" w:ascii="仿宋" w:hAnsi="仿宋" w:eastAsia="仿宋"/>
          <w:color w:val="000000"/>
          <w:sz w:val="32"/>
          <w:highlight w:val="white"/>
          <w:lang w:val="en-US"/>
        </w:rPr>
        <w:t>截至2020年12月31日，</w:t>
      </w:r>
      <w:r>
        <w:rPr>
          <w:rFonts w:hint="eastAsia" w:ascii="仿宋" w:hAnsi="仿宋" w:eastAsia="仿宋"/>
          <w:color w:val="000000"/>
          <w:sz w:val="32"/>
          <w:highlight w:val="white"/>
          <w:lang w:val="en-US" w:eastAsia="zh-CN"/>
        </w:rPr>
        <w:t>景宁县机关事务保障中心</w:t>
      </w:r>
      <w:r>
        <w:rPr>
          <w:rFonts w:hint="eastAsia" w:ascii="仿宋" w:hAnsi="仿宋" w:eastAsia="仿宋"/>
          <w:color w:val="000000"/>
          <w:sz w:val="32"/>
          <w:highlight w:val="white"/>
          <w:lang w:val="en-US"/>
        </w:rPr>
        <w:t>及所属各单位共有车辆0辆，其中，副部（省）级及以上领导用车0辆、主要领导干部用车0辆、机要通信用车0辆、应急保障用车0辆、执法执勤用车0辆、特种专业技术用车0辆、离退休干部用车0辆、其他用车0辆,其他用车主要是</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；单价50万元以上通用设备0台（套），单价100万元以上专用设备0台（套）。</w:t>
      </w:r>
      <w:r>
        <w:rPr>
          <w:rFonts w:hint="eastAsia" w:ascii="仿宋_GB2312" w:hAnsi="仿宋_GB2312" w:eastAsia="仿宋_GB2312"/>
          <w:color w:val="000000"/>
          <w:sz w:val="32"/>
          <w:highlight w:val="white"/>
          <w:lang w:val="en-US"/>
        </w:rPr>
        <w:t xml:space="preserve"> </w:t>
      </w:r>
    </w:p>
    <w:p>
      <w:pPr>
        <w:spacing w:beforeLines="0" w:afterLines="0" w:line="324" w:lineRule="auto"/>
        <w:ind w:firstLine="594"/>
        <w:rPr>
          <w:rFonts w:hint="eastAsia" w:ascii="仿宋" w:hAnsi="仿宋" w:eastAsia="仿宋"/>
          <w:color w:val="000000"/>
          <w:sz w:val="32"/>
          <w:highlight w:val="white"/>
          <w:lang w:val="en-US"/>
        </w:rPr>
      </w:pPr>
      <w:r>
        <w:rPr>
          <w:rFonts w:hint="eastAsia" w:ascii="楷体" w:hAnsi="楷体" w:eastAsia="楷体"/>
          <w:b/>
          <w:color w:val="000000"/>
          <w:sz w:val="32"/>
          <w:highlight w:val="white"/>
          <w:lang w:val="en-US"/>
        </w:rPr>
        <w:t>（十三）预算绩效情况说明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1.预算绩效管理工作开展情况。</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根据预算绩效管理要求，景宁县</w:t>
      </w:r>
      <w:r>
        <w:rPr>
          <w:rFonts w:hint="eastAsia" w:ascii="仿宋" w:hAnsi="Times New Roman" w:eastAsia="仿宋" w:cs="仿宋"/>
          <w:color w:val="000000"/>
          <w:sz w:val="32"/>
          <w:szCs w:val="32"/>
          <w:highlight w:val="white"/>
          <w:lang w:eastAsia="zh-CN"/>
        </w:rPr>
        <w:t>机关事务保障中心</w:t>
      </w:r>
      <w:r>
        <w:rPr>
          <w:rFonts w:hint="eastAsia" w:ascii="仿宋" w:hAnsi="Times New Roman" w:eastAsia="仿宋" w:cs="仿宋"/>
          <w:color w:val="000000"/>
          <w:sz w:val="32"/>
          <w:szCs w:val="32"/>
          <w:highlight w:val="white"/>
        </w:rPr>
        <w:t>组织对</w:t>
      </w: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年度一般公共预算项目支出全面开展绩效自评，其中，一级项目</w:t>
      </w:r>
      <w:r>
        <w:rPr>
          <w:rFonts w:hint="eastAsia" w:ascii="仿宋" w:hAnsi="Times New Roman" w:eastAsia="仿宋" w:cs="仿宋"/>
          <w:color w:val="000000"/>
          <w:sz w:val="32"/>
          <w:szCs w:val="32"/>
          <w:highlight w:val="white"/>
          <w:lang w:val="en-US" w:eastAsia="zh-CN"/>
        </w:rPr>
        <w:t>10</w:t>
      </w:r>
      <w:r>
        <w:rPr>
          <w:rFonts w:hint="eastAsia" w:ascii="仿宋" w:hAnsi="Times New Roman" w:eastAsia="仿宋" w:cs="仿宋"/>
          <w:color w:val="000000"/>
          <w:sz w:val="32"/>
          <w:szCs w:val="32"/>
          <w:highlight w:val="white"/>
        </w:rPr>
        <w:t>个，二级项目0个，共涉及资金</w:t>
      </w:r>
      <w:r>
        <w:rPr>
          <w:rFonts w:hint="eastAsia" w:ascii="仿宋" w:hAnsi="Times New Roman" w:eastAsia="仿宋" w:cs="仿宋"/>
          <w:color w:val="000000"/>
          <w:sz w:val="32"/>
          <w:szCs w:val="32"/>
          <w:highlight w:val="white"/>
          <w:lang w:val="en-US" w:eastAsia="zh-CN"/>
        </w:rPr>
        <w:t>1194.31</w:t>
      </w:r>
      <w:r>
        <w:rPr>
          <w:rFonts w:hint="eastAsia" w:ascii="仿宋" w:hAnsi="Times New Roman" w:eastAsia="仿宋" w:cs="仿宋"/>
          <w:color w:val="000000"/>
          <w:sz w:val="32"/>
          <w:szCs w:val="32"/>
          <w:highlight w:val="white"/>
        </w:rPr>
        <w:t>万元，占一般公共预算项目支出总额的100%。本年无政府性基金预算项目。</w:t>
      </w:r>
    </w:p>
    <w:p>
      <w:pPr>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组织对</w:t>
      </w:r>
      <w:r>
        <w:rPr>
          <w:rFonts w:hint="eastAsia" w:ascii="仿宋" w:hAnsi="Times New Roman" w:eastAsia="仿宋" w:cs="仿宋"/>
          <w:color w:val="000000"/>
          <w:sz w:val="32"/>
          <w:szCs w:val="32"/>
          <w:highlight w:val="white"/>
          <w:lang w:eastAsia="zh-CN"/>
        </w:rPr>
        <w:t>“大院零星修缮款</w:t>
      </w:r>
      <w:r>
        <w:rPr>
          <w:rFonts w:hint="eastAsia"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lang w:eastAsia="zh-CN"/>
        </w:rPr>
        <w:t>、“机关食堂运行经费”</w:t>
      </w:r>
      <w:r>
        <w:rPr>
          <w:rFonts w:hint="eastAsia" w:ascii="仿宋" w:hAnsi="Times New Roman" w:eastAsia="仿宋" w:cs="仿宋"/>
          <w:color w:val="000000"/>
          <w:sz w:val="32"/>
          <w:szCs w:val="32"/>
          <w:highlight w:val="white"/>
        </w:rPr>
        <w:t>等</w:t>
      </w:r>
      <w:r>
        <w:rPr>
          <w:rFonts w:hint="eastAsia" w:ascii="仿宋" w:hAnsi="Times New Roman" w:eastAsia="仿宋" w:cs="仿宋"/>
          <w:color w:val="000000"/>
          <w:sz w:val="32"/>
          <w:szCs w:val="32"/>
          <w:highlight w:val="white"/>
          <w:lang w:val="en-US" w:eastAsia="zh-CN"/>
        </w:rPr>
        <w:t>10</w:t>
      </w:r>
      <w:r>
        <w:rPr>
          <w:rFonts w:hint="eastAsia" w:ascii="仿宋" w:hAnsi="Times New Roman" w:eastAsia="仿宋" w:cs="仿宋"/>
          <w:color w:val="000000"/>
          <w:sz w:val="32"/>
          <w:szCs w:val="32"/>
          <w:highlight w:val="white"/>
        </w:rPr>
        <w:t>个项目开展了部门评价，涉及一般公共预算支出</w:t>
      </w:r>
      <w:r>
        <w:rPr>
          <w:rFonts w:hint="eastAsia" w:ascii="仿宋" w:hAnsi="Times New Roman" w:eastAsia="仿宋" w:cs="仿宋"/>
          <w:color w:val="000000"/>
          <w:sz w:val="32"/>
          <w:szCs w:val="32"/>
          <w:highlight w:val="white"/>
          <w:lang w:val="en-US" w:eastAsia="zh-CN"/>
        </w:rPr>
        <w:t>1194.31</w:t>
      </w:r>
      <w:r>
        <w:rPr>
          <w:rFonts w:hint="eastAsia" w:ascii="仿宋" w:hAnsi="Times New Roman" w:eastAsia="仿宋" w:cs="仿宋"/>
          <w:color w:val="000000"/>
          <w:sz w:val="32"/>
          <w:szCs w:val="32"/>
          <w:highlight w:val="white"/>
        </w:rPr>
        <w:t>万元，政府性基金预算支出0万元。其中，对</w:t>
      </w:r>
      <w:r>
        <w:rPr>
          <w:rFonts w:hint="eastAsia" w:ascii="仿宋" w:hAnsi="Times New Roman" w:eastAsia="仿宋" w:cs="仿宋"/>
          <w:color w:val="000000"/>
          <w:sz w:val="32"/>
          <w:szCs w:val="32"/>
          <w:highlight w:val="white"/>
          <w:lang w:eastAsia="zh-CN"/>
        </w:rPr>
        <w:t>“大院零星修缮款</w:t>
      </w:r>
      <w:r>
        <w:rPr>
          <w:rFonts w:hint="eastAsia"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lang w:eastAsia="zh-CN"/>
        </w:rPr>
        <w:t>、“机关食堂运行经费”</w:t>
      </w:r>
      <w:r>
        <w:rPr>
          <w:rFonts w:hint="eastAsia" w:ascii="仿宋" w:hAnsi="Times New Roman" w:eastAsia="仿宋" w:cs="仿宋"/>
          <w:color w:val="000000"/>
          <w:sz w:val="32"/>
          <w:szCs w:val="32"/>
          <w:highlight w:val="white"/>
        </w:rPr>
        <w:t>等项目分别委托丽水伟峰税务师事务所（普通合伙）第三方机构开展绩效评价。从评价情况来看景宁县</w:t>
      </w:r>
      <w:r>
        <w:rPr>
          <w:rFonts w:hint="eastAsia" w:ascii="仿宋" w:hAnsi="Times New Roman" w:eastAsia="仿宋" w:cs="仿宋"/>
          <w:color w:val="000000"/>
          <w:sz w:val="32"/>
          <w:szCs w:val="32"/>
          <w:highlight w:val="white"/>
          <w:lang w:eastAsia="zh-CN"/>
        </w:rPr>
        <w:t>机关事务保障中心</w:t>
      </w:r>
      <w:r>
        <w:rPr>
          <w:rFonts w:hint="eastAsia" w:ascii="仿宋" w:hAnsi="Times New Roman" w:eastAsia="仿宋" w:cs="仿宋"/>
          <w:color w:val="000000"/>
          <w:sz w:val="32"/>
          <w:szCs w:val="32"/>
          <w:highlight w:val="white"/>
        </w:rPr>
        <w:t>预算项目开展顺利，项目支出达到预期的绩效目标。</w:t>
      </w:r>
    </w:p>
    <w:p>
      <w:pPr>
        <w:spacing w:line="324" w:lineRule="auto"/>
        <w:ind w:firstLine="594"/>
        <w:rPr>
          <w:rFonts w:ascii="仿宋" w:hAnsi="仿宋" w:eastAsia="仿宋"/>
          <w:color w:val="000000"/>
          <w:sz w:val="32"/>
          <w:highlight w:val="white"/>
        </w:rPr>
      </w:pPr>
      <w:r>
        <w:rPr>
          <w:rFonts w:hint="eastAsia" w:ascii="仿宋" w:hAnsi="仿宋" w:eastAsia="仿宋"/>
          <w:color w:val="000000"/>
          <w:sz w:val="32"/>
          <w:highlight w:val="white"/>
        </w:rPr>
        <w:t>组织对本单位开展整体支出绩效评价试点，从评价情况来看，景宁县</w:t>
      </w:r>
      <w:r>
        <w:rPr>
          <w:rFonts w:hint="eastAsia" w:ascii="仿宋" w:hAnsi="仿宋" w:eastAsia="仿宋"/>
          <w:color w:val="000000"/>
          <w:sz w:val="32"/>
          <w:highlight w:val="white"/>
          <w:lang w:eastAsia="zh-CN"/>
        </w:rPr>
        <w:t>机关事务保障中心</w:t>
      </w:r>
      <w:r>
        <w:rPr>
          <w:rFonts w:hint="eastAsia" w:ascii="仿宋" w:hAnsi="仿宋" w:eastAsia="仿宋"/>
          <w:color w:val="000000"/>
          <w:sz w:val="32"/>
          <w:highlight w:val="white"/>
        </w:rPr>
        <w:t>委托丽水伟峰税务师事务所（普通合伙）开展2020年度项目绩效评价工作，在了解、收集相关信息和资料的基础上，对各预算项目按照评价指标和标准进行绩效评价。2020年度</w:t>
      </w:r>
      <w:r>
        <w:rPr>
          <w:rFonts w:hint="eastAsia" w:ascii="仿宋" w:hAnsi="仿宋" w:eastAsia="仿宋"/>
          <w:color w:val="000000"/>
          <w:sz w:val="32"/>
          <w:highlight w:val="white"/>
          <w:lang w:eastAsia="zh-CN"/>
        </w:rPr>
        <w:t>景宁县机关事务保障中心</w:t>
      </w:r>
      <w:r>
        <w:rPr>
          <w:rFonts w:hint="eastAsia" w:ascii="仿宋" w:hAnsi="仿宋" w:eastAsia="仿宋"/>
          <w:color w:val="000000"/>
          <w:sz w:val="32"/>
          <w:highlight w:val="white"/>
        </w:rPr>
        <w:t>预算项目开展顺利，项目支出达到预期的绩效目标。</w:t>
      </w:r>
    </w:p>
    <w:p>
      <w:pPr>
        <w:spacing w:line="324" w:lineRule="auto"/>
        <w:ind w:firstLine="594"/>
        <w:rPr>
          <w:rFonts w:hint="eastAsia" w:ascii="仿宋" w:hAnsi="仿宋" w:eastAsia="仿宋" w:cs="Times New Roman"/>
          <w:color w:val="000000"/>
          <w:sz w:val="32"/>
          <w:highlight w:val="white"/>
        </w:rPr>
      </w:pPr>
      <w:r>
        <w:rPr>
          <w:rFonts w:hint="eastAsia" w:ascii="仿宋" w:hAnsi="仿宋" w:eastAsia="仿宋" w:cs="Times New Roman"/>
          <w:color w:val="000000"/>
          <w:sz w:val="32"/>
          <w:highlight w:val="white"/>
        </w:rPr>
        <w:t>本年无下属部门或单位整体支出绩效评价。</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eastAsia="zh-CN"/>
        </w:rPr>
        <w:t>2、</w:t>
      </w:r>
      <w:r>
        <w:rPr>
          <w:rFonts w:hint="eastAsia" w:ascii="仿宋" w:hAnsi="仿宋" w:eastAsia="仿宋"/>
          <w:b/>
          <w:color w:val="000000"/>
          <w:sz w:val="32"/>
          <w:highlight w:val="white"/>
          <w:lang w:val="en-US"/>
        </w:rPr>
        <w:t>景宁县</w:t>
      </w:r>
      <w:r>
        <w:rPr>
          <w:rFonts w:hint="eastAsia" w:ascii="仿宋" w:hAnsi="仿宋" w:eastAsia="仿宋"/>
          <w:b/>
          <w:color w:val="000000"/>
          <w:sz w:val="32"/>
          <w:highlight w:val="white"/>
          <w:lang w:val="en-US" w:eastAsia="zh-CN"/>
        </w:rPr>
        <w:t>机关事务保障中心</w:t>
      </w:r>
      <w:r>
        <w:rPr>
          <w:rFonts w:hint="eastAsia" w:ascii="仿宋" w:hAnsi="仿宋" w:eastAsia="仿宋"/>
          <w:b/>
          <w:color w:val="000000"/>
          <w:sz w:val="32"/>
          <w:highlight w:val="white"/>
          <w:lang w:val="en-US"/>
        </w:rPr>
        <w:t>在2020年度部门（单位）决算中反映</w:t>
      </w:r>
      <w:r>
        <w:rPr>
          <w:rFonts w:hint="eastAsia" w:ascii="仿宋" w:hAnsi="仿宋" w:eastAsia="仿宋"/>
          <w:b/>
          <w:color w:val="000000"/>
          <w:sz w:val="32"/>
          <w:highlight w:val="white"/>
          <w:lang w:val="en-US" w:eastAsia="zh-CN"/>
        </w:rPr>
        <w:t>大院零星修缮工程</w:t>
      </w:r>
      <w:r>
        <w:rPr>
          <w:rFonts w:hint="eastAsia" w:ascii="仿宋" w:hAnsi="仿宋" w:eastAsia="仿宋"/>
          <w:b/>
          <w:color w:val="000000"/>
          <w:sz w:val="32"/>
          <w:highlight w:val="white"/>
          <w:lang w:val="en-US"/>
        </w:rPr>
        <w:t>及</w:t>
      </w:r>
      <w:r>
        <w:rPr>
          <w:rFonts w:hint="eastAsia" w:ascii="仿宋" w:hAnsi="仿宋" w:eastAsia="仿宋"/>
          <w:b/>
          <w:color w:val="000000"/>
          <w:sz w:val="32"/>
          <w:highlight w:val="white"/>
          <w:lang w:val="en-US" w:eastAsia="zh-CN"/>
        </w:rPr>
        <w:t>机关食堂运行经费</w:t>
      </w:r>
      <w:r>
        <w:rPr>
          <w:rFonts w:hint="eastAsia" w:ascii="仿宋" w:hAnsi="仿宋" w:eastAsia="仿宋"/>
          <w:b/>
          <w:color w:val="000000"/>
          <w:sz w:val="32"/>
          <w:highlight w:val="white"/>
          <w:lang w:val="en-US"/>
        </w:rPr>
        <w:t>项目绩效自评结果。</w:t>
      </w:r>
    </w:p>
    <w:p>
      <w:pPr>
        <w:pStyle w:val="2"/>
        <w:widowControl w:val="0"/>
        <w:numPr>
          <w:ilvl w:val="0"/>
          <w:numId w:val="0"/>
        </w:numPr>
        <w:autoSpaceDE w:val="0"/>
        <w:autoSpaceDN w:val="0"/>
        <w:adjustRightInd w:val="0"/>
        <w:ind w:firstLine="960" w:firstLineChars="300"/>
        <w:rPr>
          <w:rFonts w:hint="eastAsia" w:ascii="仿宋" w:hAnsi="Times New Roman" w:eastAsia="仿宋" w:cs="仿宋"/>
          <w:color w:val="000000"/>
          <w:sz w:val="32"/>
          <w:szCs w:val="32"/>
          <w:highlight w:val="white"/>
        </w:rPr>
      </w:pPr>
      <w:r>
        <w:rPr>
          <w:rFonts w:hint="eastAsia" w:ascii="仿宋" w:hAnsi="Times New Roman" w:eastAsia="仿宋" w:cs="仿宋"/>
          <w:color w:val="000000"/>
          <w:sz w:val="32"/>
          <w:szCs w:val="32"/>
          <w:lang w:eastAsia="zh-CN"/>
        </w:rPr>
        <w:t>大院零星修缮工程</w:t>
      </w:r>
      <w:r>
        <w:rPr>
          <w:rFonts w:hint="eastAsia" w:ascii="仿宋" w:hAnsi="Times New Roman" w:eastAsia="仿宋" w:cs="仿宋"/>
          <w:color w:val="000000"/>
          <w:sz w:val="32"/>
          <w:szCs w:val="32"/>
          <w:highlight w:val="white"/>
        </w:rPr>
        <w:t>项目绩效自评综述：根据年初设定的绩效目标，项目自评得分</w:t>
      </w:r>
      <w:r>
        <w:rPr>
          <w:rFonts w:hint="eastAsia" w:ascii="仿宋" w:hAnsi="Times New Roman" w:eastAsia="仿宋" w:cs="仿宋"/>
          <w:color w:val="000000"/>
          <w:sz w:val="32"/>
          <w:szCs w:val="32"/>
          <w:highlight w:val="white"/>
          <w:lang w:val="en-US" w:eastAsia="zh-CN"/>
        </w:rPr>
        <w:t>88</w:t>
      </w:r>
      <w:r>
        <w:rPr>
          <w:rFonts w:hint="eastAsia" w:ascii="仿宋" w:hAnsi="Times New Roman" w:eastAsia="仿宋" w:cs="仿宋"/>
          <w:color w:val="000000"/>
          <w:sz w:val="32"/>
          <w:szCs w:val="32"/>
          <w:highlight w:val="white"/>
        </w:rPr>
        <w:t>分，自评结论为</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lang w:eastAsia="zh-CN"/>
        </w:rPr>
        <w:t>良</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。项目全年预算数为</w:t>
      </w:r>
      <w:r>
        <w:rPr>
          <w:rFonts w:hint="eastAsia" w:ascii="仿宋" w:hAnsi="Times New Roman" w:eastAsia="仿宋" w:cs="仿宋"/>
          <w:color w:val="000000"/>
          <w:sz w:val="32"/>
          <w:szCs w:val="32"/>
          <w:highlight w:val="white"/>
          <w:lang w:val="en-US" w:eastAsia="zh-CN"/>
        </w:rPr>
        <w:t>60</w:t>
      </w:r>
      <w:r>
        <w:rPr>
          <w:rFonts w:hint="eastAsia" w:ascii="仿宋" w:hAnsi="Times New Roman" w:eastAsia="仿宋" w:cs="仿宋"/>
          <w:color w:val="000000"/>
          <w:sz w:val="32"/>
          <w:szCs w:val="32"/>
          <w:highlight w:val="white"/>
        </w:rPr>
        <w:t>万元，执行数为</w:t>
      </w:r>
      <w:r>
        <w:rPr>
          <w:rFonts w:hint="eastAsia" w:ascii="仿宋" w:hAnsi="Times New Roman" w:eastAsia="仿宋" w:cs="仿宋"/>
          <w:color w:val="000000"/>
          <w:sz w:val="32"/>
          <w:szCs w:val="32"/>
          <w:highlight w:val="white"/>
          <w:lang w:val="en-US" w:eastAsia="zh-CN"/>
        </w:rPr>
        <w:t>51.05</w:t>
      </w:r>
      <w:r>
        <w:rPr>
          <w:rFonts w:hint="eastAsia" w:ascii="仿宋" w:hAnsi="Times New Roman" w:eastAsia="仿宋" w:cs="仿宋"/>
          <w:color w:val="000000"/>
          <w:sz w:val="32"/>
          <w:szCs w:val="32"/>
          <w:highlight w:val="white"/>
        </w:rPr>
        <w:t>万元，完成预算的</w:t>
      </w:r>
      <w:r>
        <w:rPr>
          <w:rFonts w:hint="eastAsia" w:ascii="仿宋" w:hAnsi="Times New Roman" w:eastAsia="仿宋" w:cs="仿宋"/>
          <w:color w:val="000000"/>
          <w:sz w:val="32"/>
          <w:szCs w:val="32"/>
          <w:highlight w:val="white"/>
          <w:lang w:val="en-US" w:eastAsia="zh-CN"/>
        </w:rPr>
        <w:t>85</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。项目绩效目标完成情况：</w:t>
      </w:r>
      <w:r>
        <w:rPr>
          <w:rFonts w:hint="eastAsia" w:ascii="仿宋" w:hAnsi="Times New Roman" w:eastAsia="仿宋" w:cs="仿宋"/>
          <w:color w:val="000000"/>
          <w:sz w:val="32"/>
          <w:szCs w:val="32"/>
          <w:highlight w:val="white"/>
          <w:lang w:val="en-US" w:eastAsia="zh-CN"/>
        </w:rPr>
        <w:t>提高大院使用功能，减少损耗速度，保障县委县政府、行政中心办公室等基础设施正常使用及运行。发现的问题及原因资金使用未超过预算，结余8.95万元，故导致批复资金与实际支出不符。下一步改进措施：一是进一步提高预算绩效管理工作的主动性、积极性；二是相关业务工作人员提高预算绩效管理思想认识，重视预算绩效管理，切实加强组织领导，推进全员参与预算绩效管理，逐步形成</w:t>
      </w:r>
      <w:r>
        <w:rPr>
          <w:rFonts w:hint="eastAsia" w:ascii="仿宋" w:hAnsi="Times New Roman" w:eastAsia="仿宋" w:cs="仿宋"/>
          <w:color w:val="000000"/>
          <w:sz w:val="32"/>
          <w:szCs w:val="32"/>
          <w:highlight w:val="white"/>
        </w:rPr>
        <w:t>“预算编制有目标、预算执行有监控、预算完成有评价、评价结果有反馈、反馈结果有应用”全过程预算绩效管理模式，应根据具体情况，调整相应资金的使用。</w:t>
      </w:r>
    </w:p>
    <w:tbl>
      <w:tblPr>
        <w:tblStyle w:val="6"/>
        <w:tblW w:w="8965" w:type="dxa"/>
        <w:tblInd w:w="-76" w:type="dxa"/>
        <w:tblLayout w:type="fixed"/>
        <w:tblCellMar>
          <w:top w:w="0" w:type="dxa"/>
          <w:left w:w="0" w:type="dxa"/>
          <w:bottom w:w="0" w:type="dxa"/>
          <w:right w:w="0" w:type="dxa"/>
        </w:tblCellMar>
      </w:tblPr>
      <w:tblGrid>
        <w:gridCol w:w="458"/>
        <w:gridCol w:w="492"/>
        <w:gridCol w:w="885"/>
        <w:gridCol w:w="108"/>
        <w:gridCol w:w="1125"/>
        <w:gridCol w:w="345"/>
        <w:gridCol w:w="1461"/>
        <w:gridCol w:w="1224"/>
        <w:gridCol w:w="252"/>
        <w:gridCol w:w="543"/>
        <w:gridCol w:w="849"/>
        <w:gridCol w:w="102"/>
        <w:gridCol w:w="1121"/>
      </w:tblGrid>
      <w:tr>
        <w:tblPrEx>
          <w:tblCellMar>
            <w:top w:w="0" w:type="dxa"/>
            <w:left w:w="0" w:type="dxa"/>
            <w:bottom w:w="0" w:type="dxa"/>
            <w:right w:w="0" w:type="dxa"/>
          </w:tblCellMar>
        </w:tblPrEx>
        <w:trPr>
          <w:trHeight w:val="450" w:hRule="atLeast"/>
        </w:trPr>
        <w:tc>
          <w:tcPr>
            <w:tcW w:w="8965" w:type="dxa"/>
            <w:gridSpan w:val="13"/>
            <w:tcBorders>
              <w:top w:val="nil"/>
              <w:left w:val="nil"/>
              <w:bottom w:val="nil"/>
              <w:right w:val="nil"/>
            </w:tcBorders>
            <w:shd w:val="clear" w:color="auto" w:fill="FFFFFF"/>
            <w:tcMar>
              <w:top w:w="0" w:type="dxa"/>
              <w:left w:w="105" w:type="dxa"/>
              <w:bottom w:w="0" w:type="dxa"/>
              <w:right w:w="105" w:type="dxa"/>
            </w:tcMar>
            <w:vAlign w:val="center"/>
          </w:tcPr>
          <w:p>
            <w:pPr>
              <w:wordWrap w:val="0"/>
              <w:spacing w:line="315" w:lineRule="atLeast"/>
              <w:jc w:val="center"/>
              <w:rPr>
                <w:rFonts w:ascii="微软雅黑" w:hAnsi="微软雅黑" w:eastAsia="微软雅黑" w:cs="宋体"/>
                <w:spacing w:val="7"/>
                <w:sz w:val="28"/>
                <w:szCs w:val="28"/>
              </w:rPr>
            </w:pPr>
            <w:r>
              <w:rPr>
                <w:rFonts w:hint="eastAsia" w:ascii="方正小标宋简体" w:hAnsi="方正小标宋简体" w:eastAsia="方正小标宋简体" w:cs="方正小标宋简体"/>
                <w:spacing w:val="7"/>
                <w:sz w:val="44"/>
                <w:szCs w:val="44"/>
              </w:rPr>
              <w:t>景宁县项目支出绩效自评表（参考表式）</w:t>
            </w:r>
          </w:p>
        </w:tc>
      </w:tr>
      <w:tr>
        <w:tblPrEx>
          <w:tblCellMar>
            <w:top w:w="0" w:type="dxa"/>
            <w:left w:w="0" w:type="dxa"/>
            <w:bottom w:w="0" w:type="dxa"/>
            <w:right w:w="0" w:type="dxa"/>
          </w:tblCellMar>
        </w:tblPrEx>
        <w:trPr>
          <w:trHeight w:val="195" w:hRule="atLeast"/>
        </w:trPr>
        <w:tc>
          <w:tcPr>
            <w:tcW w:w="8965" w:type="dxa"/>
            <w:gridSpan w:val="13"/>
            <w:tcBorders>
              <w:top w:val="nil"/>
              <w:left w:val="nil"/>
              <w:bottom w:val="nil"/>
              <w:right w:val="nil"/>
            </w:tcBorders>
            <w:shd w:val="clear" w:color="auto" w:fill="FFFFFF"/>
            <w:tcMar>
              <w:top w:w="0" w:type="dxa"/>
              <w:left w:w="105" w:type="dxa"/>
              <w:bottom w:w="0" w:type="dxa"/>
              <w:right w:w="105" w:type="dxa"/>
            </w:tcMar>
          </w:tcPr>
          <w:p>
            <w:pPr>
              <w:wordWrap w:val="0"/>
              <w:spacing w:line="195" w:lineRule="atLeast"/>
              <w:jc w:val="center"/>
              <w:rPr>
                <w:rFonts w:ascii="宋体" w:hAnsi="宋体" w:cs="宋体"/>
                <w:spacing w:val="7"/>
                <w:sz w:val="18"/>
                <w:szCs w:val="18"/>
              </w:rPr>
            </w:pPr>
            <w:r>
              <w:rPr>
                <w:rFonts w:hint="eastAsia" w:ascii="宋体" w:hAnsi="宋体" w:cs="宋体"/>
                <w:spacing w:val="7"/>
                <w:sz w:val="18"/>
                <w:szCs w:val="18"/>
              </w:rPr>
              <w:t>（</w:t>
            </w:r>
            <w:r>
              <w:rPr>
                <w:rFonts w:ascii="宋体" w:hAnsi="宋体" w:cs="宋体"/>
                <w:spacing w:val="7"/>
                <w:sz w:val="18"/>
                <w:szCs w:val="18"/>
              </w:rPr>
              <w:t xml:space="preserve"> </w:t>
            </w:r>
            <w:r>
              <w:rPr>
                <w:rFonts w:hint="eastAsia" w:ascii="宋体" w:hAnsi="宋体" w:cs="宋体"/>
                <w:spacing w:val="7"/>
                <w:sz w:val="18"/>
                <w:szCs w:val="18"/>
              </w:rPr>
              <w:t>2020年度）</w:t>
            </w:r>
          </w:p>
          <w:p>
            <w:pPr>
              <w:wordWrap w:val="0"/>
              <w:spacing w:line="195" w:lineRule="atLeast"/>
              <w:jc w:val="center"/>
              <w:rPr>
                <w:rFonts w:ascii="宋体" w:hAnsi="宋体" w:cs="宋体"/>
                <w:spacing w:val="7"/>
                <w:sz w:val="18"/>
                <w:szCs w:val="18"/>
              </w:rPr>
            </w:pPr>
          </w:p>
        </w:tc>
      </w:tr>
      <w:tr>
        <w:tblPrEx>
          <w:tblCellMar>
            <w:top w:w="0" w:type="dxa"/>
            <w:left w:w="0" w:type="dxa"/>
            <w:bottom w:w="0" w:type="dxa"/>
            <w:right w:w="0" w:type="dxa"/>
          </w:tblCellMar>
        </w:tblPrEx>
        <w:trPr>
          <w:trHeight w:val="300" w:hRule="atLeast"/>
        </w:trPr>
        <w:tc>
          <w:tcPr>
            <w:tcW w:w="95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项目名称</w:t>
            </w:r>
          </w:p>
        </w:tc>
        <w:tc>
          <w:tcPr>
            <w:tcW w:w="8015" w:type="dxa"/>
            <w:gridSpan w:val="11"/>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8"/>
                <w:szCs w:val="28"/>
                <w:lang w:eastAsia="zh-CN"/>
              </w:rPr>
              <w:t>大院零星修缮工程</w:t>
            </w:r>
          </w:p>
        </w:tc>
      </w:tr>
      <w:tr>
        <w:tblPrEx>
          <w:tblCellMar>
            <w:top w:w="0" w:type="dxa"/>
            <w:left w:w="0" w:type="dxa"/>
            <w:bottom w:w="0" w:type="dxa"/>
            <w:right w:w="0" w:type="dxa"/>
          </w:tblCellMar>
        </w:tblPrEx>
        <w:trPr>
          <w:trHeight w:val="300" w:hRule="atLeast"/>
        </w:trPr>
        <w:tc>
          <w:tcPr>
            <w:tcW w:w="95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主管部门</w:t>
            </w: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315"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景宁</w:t>
            </w:r>
            <w:r>
              <w:rPr>
                <w:rFonts w:hint="eastAsia" w:ascii="仿宋_GB2312" w:hAnsi="仿宋_GB2312" w:eastAsia="仿宋_GB2312" w:cs="仿宋_GB2312"/>
                <w:spacing w:val="7"/>
                <w:sz w:val="24"/>
                <w:szCs w:val="24"/>
                <w:lang w:val="en-US" w:eastAsia="zh-CN"/>
              </w:rPr>
              <w:t>畲族自治</w:t>
            </w:r>
            <w:r>
              <w:rPr>
                <w:rFonts w:hint="eastAsia" w:ascii="仿宋_GB2312" w:hAnsi="仿宋_GB2312" w:eastAsia="仿宋_GB2312" w:cs="仿宋_GB2312"/>
                <w:spacing w:val="7"/>
                <w:sz w:val="24"/>
                <w:szCs w:val="24"/>
              </w:rPr>
              <w:t>县</w:t>
            </w:r>
            <w:r>
              <w:rPr>
                <w:rFonts w:hint="eastAsia" w:ascii="仿宋_GB2312" w:hAnsi="仿宋_GB2312" w:eastAsia="仿宋_GB2312" w:cs="仿宋_GB2312"/>
                <w:spacing w:val="7"/>
                <w:sz w:val="24"/>
                <w:szCs w:val="24"/>
                <w:lang w:eastAsia="zh-CN"/>
              </w:rPr>
              <w:t>机关事务保障中心</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实施单位</w:t>
            </w:r>
          </w:p>
        </w:tc>
        <w:tc>
          <w:tcPr>
            <w:tcW w:w="2615"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景宁</w:t>
            </w:r>
            <w:r>
              <w:rPr>
                <w:rFonts w:hint="eastAsia" w:ascii="仿宋_GB2312" w:hAnsi="仿宋_GB2312" w:eastAsia="仿宋_GB2312" w:cs="仿宋_GB2312"/>
                <w:spacing w:val="7"/>
                <w:sz w:val="24"/>
                <w:szCs w:val="24"/>
                <w:lang w:val="en-US" w:eastAsia="zh-CN"/>
              </w:rPr>
              <w:t>畲族自治</w:t>
            </w:r>
            <w:r>
              <w:rPr>
                <w:rFonts w:hint="eastAsia" w:ascii="仿宋_GB2312" w:hAnsi="仿宋_GB2312" w:eastAsia="仿宋_GB2312" w:cs="仿宋_GB2312"/>
                <w:spacing w:val="7"/>
                <w:sz w:val="24"/>
                <w:szCs w:val="24"/>
              </w:rPr>
              <w:t>县</w:t>
            </w:r>
            <w:r>
              <w:rPr>
                <w:rFonts w:hint="eastAsia" w:ascii="仿宋_GB2312" w:hAnsi="仿宋_GB2312" w:eastAsia="仿宋_GB2312" w:cs="仿宋_GB2312"/>
                <w:spacing w:val="7"/>
                <w:sz w:val="24"/>
                <w:szCs w:val="24"/>
                <w:lang w:eastAsia="zh-CN"/>
              </w:rPr>
              <w:t>机关事务保障中心</w:t>
            </w:r>
          </w:p>
        </w:tc>
      </w:tr>
      <w:tr>
        <w:tblPrEx>
          <w:tblCellMar>
            <w:top w:w="0" w:type="dxa"/>
            <w:left w:w="0" w:type="dxa"/>
            <w:bottom w:w="0" w:type="dxa"/>
            <w:right w:w="0" w:type="dxa"/>
          </w:tblCellMar>
        </w:tblPrEx>
        <w:trPr>
          <w:trHeight w:val="495" w:hRule="atLeast"/>
        </w:trPr>
        <w:tc>
          <w:tcPr>
            <w:tcW w:w="950" w:type="dxa"/>
            <w:gridSpan w:val="2"/>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项目资金（万元）</w:t>
            </w: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年初预算数</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全年预算数</w:t>
            </w:r>
          </w:p>
        </w:tc>
        <w:tc>
          <w:tcPr>
            <w:tcW w:w="1494"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全年执行数</w:t>
            </w:r>
          </w:p>
        </w:tc>
        <w:tc>
          <w:tcPr>
            <w:tcW w:w="112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执行率</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年度资金总额</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highlight w:val="none"/>
                <w:lang w:val="en-US" w:eastAsia="zh-CN"/>
              </w:rPr>
              <w:t>60.00</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60</w:t>
            </w:r>
            <w:r>
              <w:rPr>
                <w:rFonts w:ascii="仿宋_GB2312" w:hAnsi="仿宋_GB2312" w:eastAsia="仿宋_GB2312" w:cs="仿宋_GB2312"/>
                <w:spacing w:val="7"/>
                <w:sz w:val="24"/>
                <w:szCs w:val="24"/>
              </w:rPr>
              <w:t>.</w:t>
            </w:r>
            <w:r>
              <w:rPr>
                <w:rFonts w:hint="eastAsia" w:ascii="仿宋_GB2312" w:hAnsi="仿宋_GB2312" w:eastAsia="仿宋_GB2312" w:cs="仿宋_GB2312"/>
                <w:spacing w:val="7"/>
                <w:sz w:val="24"/>
                <w:szCs w:val="24"/>
                <w:lang w:val="en-US" w:eastAsia="zh-CN"/>
              </w:rPr>
              <w:t>00</w:t>
            </w:r>
          </w:p>
        </w:tc>
        <w:tc>
          <w:tcPr>
            <w:tcW w:w="1494"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51</w:t>
            </w:r>
            <w:r>
              <w:rPr>
                <w:rFonts w:ascii="仿宋_GB2312" w:hAnsi="仿宋_GB2312" w:eastAsia="仿宋_GB2312" w:cs="仿宋_GB2312"/>
                <w:spacing w:val="7"/>
                <w:sz w:val="24"/>
                <w:szCs w:val="24"/>
              </w:rPr>
              <w:t>.</w:t>
            </w:r>
            <w:r>
              <w:rPr>
                <w:rFonts w:hint="eastAsia" w:ascii="仿宋_GB2312" w:hAnsi="仿宋_GB2312" w:eastAsia="仿宋_GB2312" w:cs="仿宋_GB2312"/>
                <w:spacing w:val="7"/>
                <w:sz w:val="24"/>
                <w:szCs w:val="24"/>
                <w:lang w:val="en-US" w:eastAsia="zh-CN"/>
              </w:rPr>
              <w:t>05</w:t>
            </w:r>
          </w:p>
        </w:tc>
        <w:tc>
          <w:tcPr>
            <w:tcW w:w="112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85</w:t>
            </w:r>
            <w:r>
              <w:rPr>
                <w:rFonts w:ascii="仿宋_GB2312" w:hAnsi="仿宋_GB2312" w:eastAsia="仿宋_GB2312" w:cs="仿宋_GB2312"/>
                <w:spacing w:val="7"/>
                <w:sz w:val="24"/>
                <w:szCs w:val="24"/>
              </w:rPr>
              <w:t>.</w:t>
            </w:r>
            <w:r>
              <w:rPr>
                <w:rFonts w:hint="eastAsia" w:ascii="仿宋_GB2312" w:hAnsi="仿宋_GB2312" w:eastAsia="仿宋_GB2312" w:cs="仿宋_GB2312"/>
                <w:spacing w:val="7"/>
                <w:sz w:val="24"/>
                <w:szCs w:val="24"/>
                <w:lang w:val="en-US" w:eastAsia="zh-CN"/>
              </w:rPr>
              <w:t>08</w:t>
            </w:r>
            <w:r>
              <w:rPr>
                <w:rFonts w:ascii="仿宋_GB2312" w:hAnsi="仿宋_GB2312" w:eastAsia="仿宋_GB2312" w:cs="仿宋_GB2312"/>
                <w:spacing w:val="7"/>
                <w:sz w:val="24"/>
                <w:szCs w:val="24"/>
              </w:rPr>
              <w:t>%</w:t>
            </w:r>
          </w:p>
        </w:tc>
      </w:tr>
      <w:tr>
        <w:tblPrEx>
          <w:tblCellMar>
            <w:top w:w="0" w:type="dxa"/>
            <w:left w:w="0" w:type="dxa"/>
            <w:bottom w:w="0" w:type="dxa"/>
            <w:right w:w="0" w:type="dxa"/>
          </w:tblCellMar>
        </w:tblPrEx>
        <w:trPr>
          <w:trHeight w:val="315"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其中：当年财政拨款</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highlight w:val="none"/>
                <w:lang w:val="en-US" w:eastAsia="zh-CN"/>
              </w:rPr>
              <w:t>60.00</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60</w:t>
            </w:r>
            <w:r>
              <w:rPr>
                <w:rFonts w:ascii="仿宋_GB2312" w:hAnsi="仿宋_GB2312" w:eastAsia="仿宋_GB2312" w:cs="仿宋_GB2312"/>
                <w:spacing w:val="7"/>
                <w:sz w:val="24"/>
                <w:szCs w:val="24"/>
              </w:rPr>
              <w:t>.</w:t>
            </w:r>
            <w:r>
              <w:rPr>
                <w:rFonts w:hint="eastAsia" w:ascii="仿宋_GB2312" w:hAnsi="仿宋_GB2312" w:eastAsia="仿宋_GB2312" w:cs="仿宋_GB2312"/>
                <w:spacing w:val="7"/>
                <w:sz w:val="24"/>
                <w:szCs w:val="24"/>
                <w:lang w:val="en-US" w:eastAsia="zh-CN"/>
              </w:rPr>
              <w:t>00</w:t>
            </w:r>
          </w:p>
        </w:tc>
        <w:tc>
          <w:tcPr>
            <w:tcW w:w="1494"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51</w:t>
            </w:r>
            <w:r>
              <w:rPr>
                <w:rFonts w:ascii="仿宋_GB2312" w:hAnsi="仿宋_GB2312" w:eastAsia="仿宋_GB2312" w:cs="仿宋_GB2312"/>
                <w:spacing w:val="7"/>
                <w:sz w:val="24"/>
                <w:szCs w:val="24"/>
              </w:rPr>
              <w:t>.</w:t>
            </w:r>
            <w:r>
              <w:rPr>
                <w:rFonts w:hint="eastAsia" w:ascii="仿宋_GB2312" w:hAnsi="仿宋_GB2312" w:eastAsia="仿宋_GB2312" w:cs="仿宋_GB2312"/>
                <w:spacing w:val="7"/>
                <w:sz w:val="24"/>
                <w:szCs w:val="24"/>
                <w:lang w:val="en-US" w:eastAsia="zh-CN"/>
              </w:rPr>
              <w:t>05</w:t>
            </w:r>
          </w:p>
        </w:tc>
        <w:tc>
          <w:tcPr>
            <w:tcW w:w="112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85</w:t>
            </w:r>
            <w:r>
              <w:rPr>
                <w:rFonts w:ascii="仿宋_GB2312" w:hAnsi="仿宋_GB2312" w:eastAsia="仿宋_GB2312" w:cs="仿宋_GB2312"/>
                <w:spacing w:val="7"/>
                <w:sz w:val="24"/>
                <w:szCs w:val="24"/>
              </w:rPr>
              <w:t>.</w:t>
            </w:r>
            <w:r>
              <w:rPr>
                <w:rFonts w:hint="eastAsia" w:ascii="仿宋_GB2312" w:hAnsi="仿宋_GB2312" w:eastAsia="仿宋_GB2312" w:cs="仿宋_GB2312"/>
                <w:spacing w:val="7"/>
                <w:sz w:val="24"/>
                <w:szCs w:val="24"/>
                <w:lang w:val="en-US" w:eastAsia="zh-CN"/>
              </w:rPr>
              <w:t>08</w:t>
            </w:r>
            <w:r>
              <w:rPr>
                <w:rFonts w:ascii="仿宋_GB2312" w:hAnsi="仿宋_GB2312" w:eastAsia="仿宋_GB2312" w:cs="仿宋_GB2312"/>
                <w:spacing w:val="7"/>
                <w:sz w:val="24"/>
                <w:szCs w:val="24"/>
              </w:rPr>
              <w:t>%</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      上年结转资金</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494"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12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  其他资金</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494"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12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396" w:hRule="atLeast"/>
        </w:trPr>
        <w:tc>
          <w:tcPr>
            <w:tcW w:w="950" w:type="dxa"/>
            <w:gridSpan w:val="2"/>
            <w:vMerge w:val="restart"/>
            <w:tcBorders>
              <w:top w:val="nil"/>
              <w:left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年度总体目标</w:t>
            </w: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预期目标</w:t>
            </w:r>
          </w:p>
        </w:tc>
        <w:tc>
          <w:tcPr>
            <w:tcW w:w="4091"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实际完成情况</w:t>
            </w:r>
          </w:p>
        </w:tc>
      </w:tr>
      <w:tr>
        <w:tblPrEx>
          <w:tblCellMar>
            <w:top w:w="0" w:type="dxa"/>
            <w:left w:w="0" w:type="dxa"/>
            <w:bottom w:w="0" w:type="dxa"/>
            <w:right w:w="0" w:type="dxa"/>
          </w:tblCellMar>
        </w:tblPrEx>
        <w:trPr>
          <w:trHeight w:val="894"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60</w:t>
            </w:r>
            <w:r>
              <w:rPr>
                <w:rFonts w:ascii="仿宋_GB2312" w:hAnsi="仿宋_GB2312" w:eastAsia="仿宋_GB2312" w:cs="仿宋_GB2312"/>
                <w:spacing w:val="7"/>
                <w:sz w:val="24"/>
                <w:szCs w:val="24"/>
              </w:rPr>
              <w:t>.</w:t>
            </w:r>
            <w:r>
              <w:rPr>
                <w:rFonts w:hint="eastAsia" w:ascii="仿宋_GB2312" w:hAnsi="仿宋_GB2312" w:eastAsia="仿宋_GB2312" w:cs="仿宋_GB2312"/>
                <w:spacing w:val="7"/>
                <w:sz w:val="24"/>
                <w:szCs w:val="24"/>
                <w:lang w:val="en-US" w:eastAsia="zh-CN"/>
              </w:rPr>
              <w:t>00万元</w:t>
            </w:r>
          </w:p>
        </w:tc>
        <w:tc>
          <w:tcPr>
            <w:tcW w:w="4091"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51</w:t>
            </w:r>
            <w:r>
              <w:rPr>
                <w:rFonts w:ascii="仿宋_GB2312" w:hAnsi="仿宋_GB2312" w:eastAsia="仿宋_GB2312" w:cs="仿宋_GB2312"/>
                <w:spacing w:val="7"/>
                <w:sz w:val="24"/>
                <w:szCs w:val="24"/>
              </w:rPr>
              <w:t>.</w:t>
            </w:r>
            <w:r>
              <w:rPr>
                <w:rFonts w:hint="eastAsia" w:ascii="仿宋_GB2312" w:hAnsi="仿宋_GB2312" w:eastAsia="仿宋_GB2312" w:cs="仿宋_GB2312"/>
                <w:spacing w:val="7"/>
                <w:sz w:val="24"/>
                <w:szCs w:val="24"/>
                <w:lang w:val="en-US" w:eastAsia="zh-CN"/>
              </w:rPr>
              <w:t>05万元</w:t>
            </w:r>
          </w:p>
        </w:tc>
      </w:tr>
      <w:tr>
        <w:tblPrEx>
          <w:tblCellMar>
            <w:top w:w="0" w:type="dxa"/>
            <w:left w:w="0" w:type="dxa"/>
            <w:bottom w:w="0" w:type="dxa"/>
            <w:right w:w="0" w:type="dxa"/>
          </w:tblCellMar>
        </w:tblPrEx>
        <w:trPr>
          <w:trHeight w:val="540" w:hRule="atLeast"/>
        </w:trPr>
        <w:tc>
          <w:tcPr>
            <w:tcW w:w="458" w:type="dxa"/>
            <w:vMerge w:val="restart"/>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绩效指标</w:t>
            </w:r>
          </w:p>
        </w:tc>
        <w:tc>
          <w:tcPr>
            <w:tcW w:w="492"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一级指标</w:t>
            </w:r>
          </w:p>
        </w:tc>
        <w:tc>
          <w:tcPr>
            <w:tcW w:w="993"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二级指标</w:t>
            </w:r>
          </w:p>
        </w:tc>
        <w:tc>
          <w:tcPr>
            <w:tcW w:w="1125" w:type="dxa"/>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三级指标</w:t>
            </w:r>
          </w:p>
        </w:tc>
        <w:tc>
          <w:tcPr>
            <w:tcW w:w="1806"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年度</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指标值</w:t>
            </w:r>
          </w:p>
        </w:tc>
        <w:tc>
          <w:tcPr>
            <w:tcW w:w="1224"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实际</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完成值</w:t>
            </w:r>
          </w:p>
        </w:tc>
        <w:tc>
          <w:tcPr>
            <w:tcW w:w="795"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权重</w:t>
            </w:r>
          </w:p>
        </w:tc>
        <w:tc>
          <w:tcPr>
            <w:tcW w:w="849"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得分</w:t>
            </w:r>
          </w:p>
        </w:tc>
        <w:tc>
          <w:tcPr>
            <w:tcW w:w="1223" w:type="dxa"/>
            <w:gridSpan w:val="2"/>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偏差原因分析及改进措施</w:t>
            </w: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产出指标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数量</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highlight w:val="yellow"/>
              </w:rPr>
            </w:pPr>
            <w:r>
              <w:rPr>
                <w:rFonts w:hint="eastAsia" w:ascii="仿宋_GB2312" w:hAnsi="仿宋_GB2312" w:eastAsia="仿宋_GB2312" w:cs="仿宋_GB2312"/>
                <w:spacing w:val="7"/>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highlight w:val="yellow"/>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84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22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质量</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hint="eastAsia" w:ascii="仿宋_GB2312" w:hAnsi="仿宋_GB2312" w:eastAsia="仿宋_GB2312" w:cs="仿宋_GB2312"/>
                <w:spacing w:val="7"/>
                <w:sz w:val="24"/>
                <w:szCs w:val="24"/>
                <w:lang w:eastAsia="zh-CN"/>
              </w:rPr>
            </w:pPr>
            <w:r>
              <w:rPr>
                <w:rFonts w:hint="eastAsia" w:ascii="仿宋_GB2312" w:hAnsi="仿宋_GB2312" w:eastAsia="仿宋_GB2312" w:cs="仿宋_GB2312"/>
                <w:spacing w:val="7"/>
                <w:sz w:val="24"/>
                <w:szCs w:val="24"/>
                <w:lang w:eastAsia="zh-CN"/>
              </w:rPr>
              <w:t>项目验收合格率</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100.00%</w:t>
            </w: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100.00%</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15</w:t>
            </w:r>
          </w:p>
        </w:tc>
        <w:tc>
          <w:tcPr>
            <w:tcW w:w="84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15</w:t>
            </w:r>
          </w:p>
        </w:tc>
        <w:tc>
          <w:tcPr>
            <w:tcW w:w="122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时效</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hint="default" w:ascii="仿宋_GB2312" w:hAnsi="仿宋_GB2312" w:eastAsia="仿宋_GB2312" w:cs="仿宋_GB2312"/>
                <w:spacing w:val="7"/>
                <w:sz w:val="24"/>
                <w:szCs w:val="24"/>
                <w:highlight w:val="yellow"/>
                <w:lang w:val="en-US" w:eastAsia="zh-CN"/>
              </w:rPr>
            </w:pPr>
            <w:r>
              <w:rPr>
                <w:rFonts w:hint="eastAsia" w:ascii="仿宋_GB2312" w:hAnsi="仿宋_GB2312" w:eastAsia="仿宋_GB2312" w:cs="仿宋_GB2312"/>
                <w:spacing w:val="7"/>
                <w:sz w:val="24"/>
                <w:szCs w:val="24"/>
                <w:highlight w:val="none"/>
                <w:lang w:val="en-US" w:eastAsia="zh-CN"/>
              </w:rPr>
              <w:t>项目在预期内完成</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sz w:val="24"/>
                <w:szCs w:val="24"/>
                <w:lang w:eastAsia="zh-CN"/>
              </w:rPr>
            </w:pPr>
            <w:r>
              <w:rPr>
                <w:rFonts w:hint="eastAsia" w:ascii="仿宋_GB2312" w:hAnsi="仿宋_GB2312" w:eastAsia="仿宋_GB2312" w:cs="仿宋_GB2312"/>
                <w:spacing w:val="7"/>
                <w:sz w:val="24"/>
                <w:szCs w:val="24"/>
                <w:lang w:eastAsia="zh-CN"/>
              </w:rPr>
              <w:t>本年度</w:t>
            </w: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eastAsia="zh-CN"/>
              </w:rPr>
              <w:t>本年度</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15</w:t>
            </w:r>
          </w:p>
        </w:tc>
        <w:tc>
          <w:tcPr>
            <w:tcW w:w="84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15</w:t>
            </w:r>
          </w:p>
        </w:tc>
        <w:tc>
          <w:tcPr>
            <w:tcW w:w="122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成本</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highlight w:val="none"/>
              </w:rPr>
            </w:pPr>
            <w:r>
              <w:rPr>
                <w:rFonts w:hint="eastAsia" w:ascii="仿宋_GB2312" w:hAnsi="仿宋_GB2312" w:eastAsia="仿宋_GB2312" w:cs="仿宋_GB2312"/>
                <w:spacing w:val="7"/>
                <w:sz w:val="24"/>
                <w:szCs w:val="24"/>
                <w:highlight w:val="none"/>
              </w:rPr>
              <w:t>项目成本控制在预算内</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highlight w:val="none"/>
              </w:rPr>
            </w:pPr>
            <w:r>
              <w:rPr>
                <w:rFonts w:hint="eastAsia" w:ascii="仿宋_GB2312" w:hAnsi="仿宋_GB2312" w:eastAsia="仿宋_GB2312" w:cs="仿宋_GB2312"/>
                <w:spacing w:val="7"/>
                <w:sz w:val="24"/>
                <w:szCs w:val="24"/>
                <w:lang w:val="en-US" w:eastAsia="zh-CN"/>
              </w:rPr>
              <w:t>60</w:t>
            </w:r>
            <w:r>
              <w:rPr>
                <w:rFonts w:ascii="仿宋_GB2312" w:hAnsi="仿宋_GB2312" w:eastAsia="仿宋_GB2312" w:cs="仿宋_GB2312"/>
                <w:spacing w:val="7"/>
                <w:sz w:val="24"/>
                <w:szCs w:val="24"/>
              </w:rPr>
              <w:t>.</w:t>
            </w:r>
            <w:r>
              <w:rPr>
                <w:rFonts w:hint="eastAsia" w:ascii="仿宋_GB2312" w:hAnsi="仿宋_GB2312" w:eastAsia="仿宋_GB2312" w:cs="仿宋_GB2312"/>
                <w:spacing w:val="7"/>
                <w:sz w:val="24"/>
                <w:szCs w:val="24"/>
                <w:lang w:val="en-US" w:eastAsia="zh-CN"/>
              </w:rPr>
              <w:t>00万元</w:t>
            </w: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51</w:t>
            </w:r>
            <w:r>
              <w:rPr>
                <w:rFonts w:ascii="仿宋_GB2312" w:hAnsi="仿宋_GB2312" w:eastAsia="仿宋_GB2312" w:cs="仿宋_GB2312"/>
                <w:spacing w:val="7"/>
                <w:sz w:val="24"/>
                <w:szCs w:val="24"/>
              </w:rPr>
              <w:t>.</w:t>
            </w:r>
            <w:r>
              <w:rPr>
                <w:rFonts w:hint="eastAsia" w:ascii="仿宋_GB2312" w:hAnsi="仿宋_GB2312" w:eastAsia="仿宋_GB2312" w:cs="仿宋_GB2312"/>
                <w:spacing w:val="7"/>
                <w:sz w:val="24"/>
                <w:szCs w:val="24"/>
                <w:lang w:val="en-US" w:eastAsia="zh-CN"/>
              </w:rPr>
              <w:t>05万元</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30</w:t>
            </w:r>
          </w:p>
        </w:tc>
        <w:tc>
          <w:tcPr>
            <w:tcW w:w="84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20</w:t>
            </w:r>
          </w:p>
        </w:tc>
        <w:tc>
          <w:tcPr>
            <w:tcW w:w="122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有8.95万元结余，故导致批复资金与实际支出资金不相符</w:t>
            </w: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restart"/>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效益指标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经济效益指标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p>
        </w:tc>
        <w:tc>
          <w:tcPr>
            <w:tcW w:w="84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p>
        </w:tc>
        <w:tc>
          <w:tcPr>
            <w:tcW w:w="122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highlight w:val="yellow"/>
              </w:rPr>
            </w:pPr>
            <w:r>
              <w:rPr>
                <w:rFonts w:hint="eastAsia" w:ascii="仿宋_GB2312" w:hAnsi="仿宋_GB2312" w:eastAsia="仿宋_GB2312" w:cs="仿宋_GB2312"/>
                <w:spacing w:val="7"/>
                <w:sz w:val="24"/>
                <w:szCs w:val="24"/>
                <w:highlight w:val="none"/>
              </w:rPr>
              <w:t>社会效益指标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highlight w:val="yellow"/>
              </w:rPr>
            </w:pPr>
            <w:r>
              <w:rPr>
                <w:rFonts w:hint="eastAsia" w:ascii="仿宋_GB2312" w:hAnsi="仿宋_GB2312" w:eastAsia="仿宋_GB2312" w:cs="仿宋_GB2312"/>
                <w:spacing w:val="7"/>
                <w:sz w:val="24"/>
                <w:szCs w:val="24"/>
                <w:highlight w:val="none"/>
              </w:rPr>
              <w:t>保障县委县政府、行政中心办公室等基础设施正常使用及运行</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highlight w:val="yellow"/>
              </w:rPr>
            </w:pPr>
            <w:r>
              <w:rPr>
                <w:rFonts w:hint="eastAsia" w:ascii="仿宋_GB2312" w:hAnsi="仿宋_GB2312" w:eastAsia="仿宋_GB2312" w:cs="仿宋_GB2312"/>
                <w:spacing w:val="7"/>
                <w:sz w:val="24"/>
                <w:szCs w:val="24"/>
                <w:highlight w:val="none"/>
              </w:rPr>
              <w:t>保障县委县政府、行政中心办公室等基础设施正常使用及运行</w:t>
            </w: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highlight w:val="none"/>
              </w:rPr>
              <w:t>保障县委县政府、行政中心办公室等基础设施正常使用及运行</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30</w:t>
            </w:r>
          </w:p>
        </w:tc>
        <w:tc>
          <w:tcPr>
            <w:tcW w:w="84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28</w:t>
            </w:r>
          </w:p>
        </w:tc>
        <w:tc>
          <w:tcPr>
            <w:tcW w:w="122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生态效益指标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84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22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516" w:hRule="atLeast"/>
        </w:trPr>
        <w:tc>
          <w:tcPr>
            <w:tcW w:w="458" w:type="dxa"/>
            <w:vMerge w:val="restart"/>
            <w:tcBorders>
              <w:top w:val="nil"/>
              <w:left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可持续影响指标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84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22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486"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满意度</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服务对象满意度指标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服务对象满意度</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w:t>
            </w:r>
            <w:r>
              <w:rPr>
                <w:rFonts w:hint="eastAsia" w:ascii="仿宋_GB2312" w:hAnsi="仿宋_GB2312" w:eastAsia="仿宋_GB2312" w:cs="仿宋_GB2312"/>
                <w:spacing w:val="7"/>
                <w:sz w:val="24"/>
                <w:szCs w:val="24"/>
                <w:lang w:val="en-US" w:eastAsia="zh-CN"/>
              </w:rPr>
              <w:t>95</w:t>
            </w:r>
            <w:r>
              <w:rPr>
                <w:rFonts w:hint="eastAsia" w:ascii="仿宋_GB2312" w:hAnsi="仿宋_GB2312" w:eastAsia="仿宋_GB2312" w:cs="仿宋_GB2312"/>
                <w:spacing w:val="7"/>
                <w:sz w:val="24"/>
                <w:szCs w:val="24"/>
              </w:rPr>
              <w:t>.00%</w:t>
            </w: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100</w:t>
            </w:r>
            <w:r>
              <w:rPr>
                <w:rFonts w:hint="eastAsia" w:ascii="仿宋_GB2312" w:hAnsi="仿宋_GB2312" w:eastAsia="仿宋_GB2312" w:cs="仿宋_GB2312"/>
                <w:spacing w:val="7"/>
                <w:sz w:val="24"/>
                <w:szCs w:val="24"/>
              </w:rPr>
              <w:t>.00%</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10</w:t>
            </w:r>
          </w:p>
        </w:tc>
        <w:tc>
          <w:tcPr>
            <w:tcW w:w="84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10</w:t>
            </w:r>
          </w:p>
        </w:tc>
        <w:tc>
          <w:tcPr>
            <w:tcW w:w="122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541" w:hRule="atLeast"/>
        </w:trPr>
        <w:tc>
          <w:tcPr>
            <w:tcW w:w="6098" w:type="dxa"/>
            <w:gridSpan w:val="8"/>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总分</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100</w:t>
            </w:r>
          </w:p>
        </w:tc>
        <w:tc>
          <w:tcPr>
            <w:tcW w:w="84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88</w:t>
            </w:r>
          </w:p>
        </w:tc>
        <w:tc>
          <w:tcPr>
            <w:tcW w:w="122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300" w:hRule="atLeast"/>
        </w:trPr>
        <w:tc>
          <w:tcPr>
            <w:tcW w:w="1835"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自评结论</w:t>
            </w:r>
          </w:p>
        </w:tc>
        <w:tc>
          <w:tcPr>
            <w:tcW w:w="4263" w:type="dxa"/>
            <w:gridSpan w:val="5"/>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color w:val="000000"/>
                <w:sz w:val="24"/>
                <w:szCs w:val="24"/>
                <w:lang w:bidi="ar"/>
              </w:rPr>
              <w:t>优□      良</w:t>
            </w:r>
            <w:r>
              <w:rPr>
                <w:rFonts w:hint="eastAsia" w:ascii="仿宋_GB2312" w:hAnsi="仿宋_GB2312" w:eastAsia="仿宋_GB2312" w:cs="仿宋_GB2312"/>
                <w:color w:val="000000"/>
                <w:sz w:val="24"/>
                <w:szCs w:val="24"/>
                <w:lang w:bidi="ar"/>
              </w:rPr>
              <w:sym w:font="Wingdings 2" w:char="0052"/>
            </w:r>
            <w:r>
              <w:rPr>
                <w:rFonts w:hint="eastAsia" w:ascii="仿宋_GB2312" w:hAnsi="仿宋_GB2312" w:eastAsia="仿宋_GB2312" w:cs="仿宋_GB2312"/>
                <w:color w:val="000000"/>
                <w:sz w:val="24"/>
                <w:szCs w:val="24"/>
                <w:lang w:bidi="ar"/>
              </w:rPr>
              <w:t xml:space="preserve">      中□    差□</w:t>
            </w:r>
          </w:p>
        </w:tc>
        <w:tc>
          <w:tcPr>
            <w:tcW w:w="2867" w:type="dxa"/>
            <w:gridSpan w:val="5"/>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color w:val="000000"/>
                <w:sz w:val="24"/>
                <w:szCs w:val="24"/>
                <w:lang w:bidi="ar"/>
              </w:rPr>
              <w:t>总分高于90分（含）的结论为“优”，90～80分（含）为“良”，80～60分（含）为“中”，低于60分为“差”。</w:t>
            </w:r>
          </w:p>
        </w:tc>
      </w:tr>
    </w:tbl>
    <w:p>
      <w:pPr>
        <w:pStyle w:val="2"/>
        <w:widowControl w:val="0"/>
        <w:numPr>
          <w:ilvl w:val="0"/>
          <w:numId w:val="0"/>
        </w:numPr>
        <w:autoSpaceDE w:val="0"/>
        <w:autoSpaceDN w:val="0"/>
        <w:adjustRightInd w:val="0"/>
        <w:ind w:firstLine="960" w:firstLineChars="300"/>
        <w:rPr>
          <w:rFonts w:hint="eastAsia"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lang w:eastAsia="zh-CN"/>
        </w:rPr>
        <w:t>机关食堂运行经费</w:t>
      </w:r>
      <w:r>
        <w:rPr>
          <w:rFonts w:hint="eastAsia" w:ascii="仿宋" w:hAnsi="Times New Roman" w:eastAsia="仿宋" w:cs="仿宋"/>
          <w:color w:val="000000"/>
          <w:sz w:val="32"/>
          <w:szCs w:val="32"/>
          <w:highlight w:val="white"/>
        </w:rPr>
        <w:t>项目绩效自评综述：根据年初设定的绩效目标，项目自评得分</w:t>
      </w:r>
      <w:r>
        <w:rPr>
          <w:rFonts w:hint="eastAsia" w:ascii="仿宋" w:hAnsi="Times New Roman" w:eastAsia="仿宋" w:cs="仿宋"/>
          <w:color w:val="000000"/>
          <w:sz w:val="32"/>
          <w:szCs w:val="32"/>
          <w:highlight w:val="white"/>
          <w:lang w:val="en-US" w:eastAsia="zh-CN"/>
        </w:rPr>
        <w:t>96</w:t>
      </w:r>
      <w:r>
        <w:rPr>
          <w:rFonts w:hint="eastAsia" w:ascii="仿宋" w:hAnsi="Times New Roman" w:eastAsia="仿宋" w:cs="仿宋"/>
          <w:color w:val="000000"/>
          <w:sz w:val="32"/>
          <w:szCs w:val="32"/>
          <w:highlight w:val="white"/>
        </w:rPr>
        <w:t>分，自评结论为</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lang w:eastAsia="zh-CN"/>
        </w:rPr>
        <w:t>优</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。项目全年预算数为</w:t>
      </w:r>
      <w:r>
        <w:rPr>
          <w:rFonts w:hint="eastAsia" w:ascii="仿宋" w:hAnsi="Times New Roman" w:eastAsia="仿宋" w:cs="仿宋"/>
          <w:color w:val="000000"/>
          <w:sz w:val="32"/>
          <w:szCs w:val="32"/>
          <w:highlight w:val="white"/>
          <w:lang w:val="en-US" w:eastAsia="zh-CN"/>
        </w:rPr>
        <w:t>120</w:t>
      </w:r>
      <w:r>
        <w:rPr>
          <w:rFonts w:hint="eastAsia" w:ascii="仿宋" w:hAnsi="Times New Roman" w:eastAsia="仿宋" w:cs="仿宋"/>
          <w:color w:val="000000"/>
          <w:sz w:val="32"/>
          <w:szCs w:val="32"/>
          <w:highlight w:val="white"/>
        </w:rPr>
        <w:t>万元，执行数为</w:t>
      </w:r>
      <w:r>
        <w:rPr>
          <w:rFonts w:hint="eastAsia" w:ascii="仿宋" w:hAnsi="Times New Roman" w:eastAsia="仿宋" w:cs="仿宋"/>
          <w:color w:val="000000"/>
          <w:sz w:val="32"/>
          <w:szCs w:val="32"/>
          <w:highlight w:val="white"/>
          <w:lang w:val="en-US" w:eastAsia="zh-CN"/>
        </w:rPr>
        <w:t>115.43</w:t>
      </w:r>
      <w:r>
        <w:rPr>
          <w:rFonts w:hint="eastAsia" w:ascii="仿宋" w:hAnsi="Times New Roman" w:eastAsia="仿宋" w:cs="仿宋"/>
          <w:color w:val="000000"/>
          <w:sz w:val="32"/>
          <w:szCs w:val="32"/>
          <w:highlight w:val="white"/>
        </w:rPr>
        <w:t>万元，完成预算的</w:t>
      </w:r>
      <w:r>
        <w:rPr>
          <w:rFonts w:hint="eastAsia" w:ascii="仿宋" w:hAnsi="Times New Roman" w:eastAsia="仿宋" w:cs="仿宋"/>
          <w:color w:val="000000"/>
          <w:sz w:val="32"/>
          <w:szCs w:val="32"/>
          <w:highlight w:val="white"/>
          <w:lang w:val="en-US" w:eastAsia="zh-CN"/>
        </w:rPr>
        <w:t>92</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。项目绩效目标完成情况：</w:t>
      </w:r>
      <w:r>
        <w:rPr>
          <w:rFonts w:hint="eastAsia" w:ascii="仿宋_GB2312" w:eastAsia="仿宋_GB2312"/>
          <w:sz w:val="28"/>
          <w:szCs w:val="28"/>
        </w:rPr>
        <w:t>“</w:t>
      </w:r>
      <w:r>
        <w:rPr>
          <w:rFonts w:hint="eastAsia" w:ascii="仿宋" w:hAnsi="Times New Roman" w:eastAsia="仿宋" w:cs="仿宋"/>
          <w:color w:val="000000"/>
          <w:sz w:val="32"/>
          <w:szCs w:val="32"/>
          <w:highlight w:val="white"/>
          <w:lang w:eastAsia="zh-CN"/>
        </w:rPr>
        <w:t>机关食堂运行经费</w:t>
      </w:r>
      <w:r>
        <w:rPr>
          <w:rFonts w:hint="eastAsia" w:ascii="仿宋" w:hAnsi="Times New Roman" w:eastAsia="仿宋" w:cs="仿宋"/>
          <w:color w:val="000000"/>
          <w:sz w:val="32"/>
          <w:szCs w:val="32"/>
          <w:highlight w:val="white"/>
        </w:rPr>
        <w:t>”项目实施后，</w:t>
      </w:r>
      <w:r>
        <w:rPr>
          <w:rFonts w:hint="eastAsia" w:ascii="仿宋" w:hAnsi="Times New Roman" w:eastAsia="仿宋" w:cs="仿宋"/>
          <w:color w:val="000000"/>
          <w:sz w:val="32"/>
          <w:szCs w:val="32"/>
          <w:highlight w:val="white"/>
          <w:lang w:eastAsia="zh-CN"/>
        </w:rPr>
        <w:t>保障行政中心干部后勤工作</w:t>
      </w:r>
      <w:r>
        <w:rPr>
          <w:rFonts w:hint="eastAsia" w:ascii="仿宋" w:hAnsi="Times New Roman" w:eastAsia="仿宋" w:cs="仿宋"/>
          <w:color w:val="000000"/>
          <w:sz w:val="32"/>
          <w:szCs w:val="32"/>
          <w:highlight w:val="white"/>
          <w:lang w:val="en-US" w:eastAsia="zh-CN"/>
        </w:rPr>
        <w:t>。发现的问题及原因资金使用未超过预算，有4.57万元结余，故导致批复资金与实际支出不符。下一步改进措施：一是进一步提高预算绩效管理工作的主动性、积极性；二是相关业务工作人员提高预算绩效管理思想认识，重视预算绩效管理，切实加强组织领导，推进全员参与预算绩效管理，逐步形成</w:t>
      </w:r>
      <w:r>
        <w:rPr>
          <w:rFonts w:hint="eastAsia" w:ascii="仿宋" w:hAnsi="Times New Roman" w:eastAsia="仿宋" w:cs="仿宋"/>
          <w:color w:val="000000"/>
          <w:sz w:val="32"/>
          <w:szCs w:val="32"/>
          <w:highlight w:val="white"/>
        </w:rPr>
        <w:t>“预算编制有目标、预算执行有监控、预算完成有评价、评价结果有反馈、反馈结果有应用”全过程预算绩效管理模式，应根据具体情况，调整相应资金的使用。</w:t>
      </w:r>
    </w:p>
    <w:p>
      <w:pPr>
        <w:pStyle w:val="2"/>
        <w:widowControl w:val="0"/>
        <w:numPr>
          <w:ilvl w:val="0"/>
          <w:numId w:val="0"/>
        </w:numPr>
        <w:autoSpaceDE w:val="0"/>
        <w:autoSpaceDN w:val="0"/>
        <w:adjustRightInd w:val="0"/>
        <w:ind w:firstLine="960" w:firstLineChars="300"/>
        <w:rPr>
          <w:rFonts w:hint="eastAsia" w:ascii="仿宋" w:hAnsi="Times New Roman" w:eastAsia="仿宋" w:cs="仿宋"/>
          <w:color w:val="000000"/>
          <w:sz w:val="32"/>
          <w:szCs w:val="32"/>
          <w:highlight w:val="white"/>
        </w:rPr>
      </w:pPr>
    </w:p>
    <w:tbl>
      <w:tblPr>
        <w:tblStyle w:val="6"/>
        <w:tblW w:w="8965" w:type="dxa"/>
        <w:tblInd w:w="-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8"/>
        <w:gridCol w:w="492"/>
        <w:gridCol w:w="885"/>
        <w:gridCol w:w="108"/>
        <w:gridCol w:w="1125"/>
        <w:gridCol w:w="345"/>
        <w:gridCol w:w="1461"/>
        <w:gridCol w:w="1224"/>
        <w:gridCol w:w="252"/>
        <w:gridCol w:w="543"/>
        <w:gridCol w:w="899"/>
        <w:gridCol w:w="166"/>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965" w:type="dxa"/>
            <w:gridSpan w:val="13"/>
            <w:tcBorders>
              <w:top w:val="nil"/>
              <w:left w:val="nil"/>
              <w:bottom w:val="nil"/>
              <w:right w:val="nil"/>
            </w:tcBorders>
            <w:shd w:val="clear" w:color="auto" w:fill="FFFFFF"/>
            <w:tcMar>
              <w:top w:w="0" w:type="dxa"/>
              <w:left w:w="105" w:type="dxa"/>
              <w:bottom w:w="0" w:type="dxa"/>
              <w:right w:w="105" w:type="dxa"/>
            </w:tcMar>
            <w:vAlign w:val="center"/>
          </w:tcPr>
          <w:p>
            <w:pPr>
              <w:wordWrap w:val="0"/>
              <w:spacing w:line="315" w:lineRule="atLeast"/>
              <w:jc w:val="center"/>
              <w:rPr>
                <w:rFonts w:ascii="微软雅黑" w:hAnsi="微软雅黑" w:eastAsia="微软雅黑" w:cs="宋体"/>
                <w:spacing w:val="7"/>
                <w:sz w:val="28"/>
                <w:szCs w:val="28"/>
              </w:rPr>
            </w:pPr>
            <w:r>
              <w:rPr>
                <w:rFonts w:hint="eastAsia" w:ascii="方正小标宋简体" w:hAnsi="方正小标宋简体" w:eastAsia="方正小标宋简体" w:cs="方正小标宋简体"/>
                <w:spacing w:val="7"/>
                <w:sz w:val="44"/>
                <w:szCs w:val="44"/>
              </w:rPr>
              <w:t>景宁县项目支出绩效自评表（参考表式）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 w:hRule="atLeast"/>
        </w:trPr>
        <w:tc>
          <w:tcPr>
            <w:tcW w:w="8965" w:type="dxa"/>
            <w:gridSpan w:val="13"/>
            <w:tcBorders>
              <w:top w:val="nil"/>
              <w:left w:val="nil"/>
              <w:bottom w:val="nil"/>
              <w:right w:val="nil"/>
            </w:tcBorders>
            <w:shd w:val="clear" w:color="auto" w:fill="FFFFFF"/>
            <w:tcMar>
              <w:top w:w="0" w:type="dxa"/>
              <w:left w:w="105" w:type="dxa"/>
              <w:bottom w:w="0" w:type="dxa"/>
              <w:right w:w="105" w:type="dxa"/>
            </w:tcMar>
            <w:vAlign w:val="top"/>
          </w:tcPr>
          <w:p>
            <w:pPr>
              <w:wordWrap w:val="0"/>
              <w:spacing w:line="195" w:lineRule="atLeast"/>
              <w:jc w:val="center"/>
              <w:rPr>
                <w:rFonts w:ascii="宋体" w:hAnsi="宋体" w:cs="宋体"/>
                <w:spacing w:val="7"/>
                <w:sz w:val="18"/>
                <w:szCs w:val="18"/>
              </w:rPr>
            </w:pPr>
            <w:r>
              <w:rPr>
                <w:rFonts w:hint="eastAsia" w:ascii="宋体" w:hAnsi="宋体" w:cs="宋体"/>
                <w:spacing w:val="7"/>
                <w:sz w:val="18"/>
                <w:szCs w:val="18"/>
              </w:rPr>
              <w:t>（</w:t>
            </w:r>
            <w:r>
              <w:rPr>
                <w:rFonts w:ascii="宋体" w:hAnsi="宋体" w:cs="宋体"/>
                <w:spacing w:val="7"/>
                <w:sz w:val="18"/>
                <w:szCs w:val="18"/>
              </w:rPr>
              <w:t xml:space="preserve"> </w:t>
            </w:r>
            <w:r>
              <w:rPr>
                <w:rFonts w:hint="eastAsia" w:ascii="宋体" w:hAnsi="宋体" w:cs="宋体"/>
                <w:spacing w:val="7"/>
                <w:sz w:val="18"/>
                <w:szCs w:val="18"/>
              </w:rPr>
              <w:t>2020年度）</w:t>
            </w:r>
          </w:p>
          <w:p>
            <w:pPr>
              <w:wordWrap w:val="0"/>
              <w:spacing w:line="195" w:lineRule="atLeast"/>
              <w:jc w:val="center"/>
              <w:rPr>
                <w:rFonts w:ascii="宋体" w:hAnsi="宋体" w:cs="宋体"/>
                <w:spacing w:val="7"/>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95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项目名称</w:t>
            </w:r>
          </w:p>
        </w:tc>
        <w:tc>
          <w:tcPr>
            <w:tcW w:w="8015" w:type="dxa"/>
            <w:gridSpan w:val="11"/>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32"/>
                <w:szCs w:val="32"/>
                <w:lang w:eastAsia="zh-CN"/>
              </w:rPr>
              <w:t>机关食堂运行经费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95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主管部门</w:t>
            </w: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315"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景宁</w:t>
            </w:r>
            <w:r>
              <w:rPr>
                <w:rFonts w:hint="eastAsia" w:ascii="仿宋_GB2312" w:hAnsi="仿宋_GB2312" w:eastAsia="仿宋_GB2312" w:cs="仿宋_GB2312"/>
                <w:spacing w:val="7"/>
                <w:sz w:val="24"/>
                <w:szCs w:val="24"/>
                <w:lang w:val="en-US" w:eastAsia="zh-CN"/>
              </w:rPr>
              <w:t>畲族自治</w:t>
            </w:r>
            <w:r>
              <w:rPr>
                <w:rFonts w:hint="eastAsia" w:ascii="仿宋_GB2312" w:hAnsi="仿宋_GB2312" w:eastAsia="仿宋_GB2312" w:cs="仿宋_GB2312"/>
                <w:spacing w:val="7"/>
                <w:sz w:val="24"/>
                <w:szCs w:val="24"/>
              </w:rPr>
              <w:t>县</w:t>
            </w:r>
            <w:r>
              <w:rPr>
                <w:rFonts w:hint="eastAsia" w:ascii="仿宋_GB2312" w:hAnsi="仿宋_GB2312" w:eastAsia="仿宋_GB2312" w:cs="仿宋_GB2312"/>
                <w:spacing w:val="7"/>
                <w:sz w:val="24"/>
                <w:szCs w:val="24"/>
                <w:lang w:eastAsia="zh-CN"/>
              </w:rPr>
              <w:t>机关事务保障中心</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实施单位</w:t>
            </w:r>
          </w:p>
        </w:tc>
        <w:tc>
          <w:tcPr>
            <w:tcW w:w="2615"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景宁</w:t>
            </w:r>
            <w:r>
              <w:rPr>
                <w:rFonts w:hint="eastAsia" w:ascii="仿宋_GB2312" w:hAnsi="仿宋_GB2312" w:eastAsia="仿宋_GB2312" w:cs="仿宋_GB2312"/>
                <w:spacing w:val="7"/>
                <w:sz w:val="24"/>
                <w:szCs w:val="24"/>
                <w:lang w:val="en-US" w:eastAsia="zh-CN"/>
              </w:rPr>
              <w:t>畲族自治</w:t>
            </w:r>
            <w:r>
              <w:rPr>
                <w:rFonts w:hint="eastAsia" w:ascii="仿宋_GB2312" w:hAnsi="仿宋_GB2312" w:eastAsia="仿宋_GB2312" w:cs="仿宋_GB2312"/>
                <w:spacing w:val="7"/>
                <w:sz w:val="24"/>
                <w:szCs w:val="24"/>
              </w:rPr>
              <w:t>县</w:t>
            </w:r>
            <w:r>
              <w:rPr>
                <w:rFonts w:hint="eastAsia" w:ascii="仿宋_GB2312" w:hAnsi="仿宋_GB2312" w:eastAsia="仿宋_GB2312" w:cs="仿宋_GB2312"/>
                <w:spacing w:val="7"/>
                <w:sz w:val="24"/>
                <w:szCs w:val="24"/>
                <w:lang w:eastAsia="zh-CN"/>
              </w:rPr>
              <w:t>机关事务保障中心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950" w:type="dxa"/>
            <w:gridSpan w:val="2"/>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项目资金（万元）</w:t>
            </w: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年初预算数</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全年预算数</w:t>
            </w:r>
          </w:p>
        </w:tc>
        <w:tc>
          <w:tcPr>
            <w:tcW w:w="1608"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全年执行数</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年度资金总额</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highlight w:val="none"/>
                <w:lang w:val="en-US" w:eastAsia="zh-CN"/>
              </w:rPr>
              <w:t>120.00</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120.00</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115.43</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96</w:t>
            </w:r>
            <w:r>
              <w:rPr>
                <w:rFonts w:ascii="仿宋_GB2312" w:hAnsi="仿宋_GB2312" w:eastAsia="仿宋_GB2312" w:cs="仿宋_GB2312"/>
                <w:spacing w:val="7"/>
                <w:sz w:val="24"/>
                <w:szCs w:val="24"/>
              </w:rPr>
              <w:t>.</w:t>
            </w:r>
            <w:r>
              <w:rPr>
                <w:rFonts w:hint="eastAsia" w:ascii="仿宋_GB2312" w:hAnsi="仿宋_GB2312" w:eastAsia="仿宋_GB2312" w:cs="仿宋_GB2312"/>
                <w:spacing w:val="7"/>
                <w:sz w:val="24"/>
                <w:szCs w:val="24"/>
                <w:lang w:val="en-US" w:eastAsia="zh-CN"/>
              </w:rPr>
              <w:t>19</w:t>
            </w:r>
            <w:r>
              <w:rPr>
                <w:rFonts w:ascii="仿宋_GB2312" w:hAnsi="仿宋_GB2312" w:eastAsia="仿宋_GB2312" w:cs="仿宋_GB2312"/>
                <w:spacing w:val="7"/>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其中：当年财政拨款</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highlight w:val="none"/>
                <w:lang w:val="en-US" w:eastAsia="zh-CN"/>
              </w:rPr>
              <w:t>120.00</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120.00</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115.43</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96</w:t>
            </w:r>
            <w:r>
              <w:rPr>
                <w:rFonts w:ascii="仿宋_GB2312" w:hAnsi="仿宋_GB2312" w:eastAsia="仿宋_GB2312" w:cs="仿宋_GB2312"/>
                <w:spacing w:val="7"/>
                <w:sz w:val="24"/>
                <w:szCs w:val="24"/>
              </w:rPr>
              <w:t>.</w:t>
            </w:r>
            <w:r>
              <w:rPr>
                <w:rFonts w:hint="eastAsia" w:ascii="仿宋_GB2312" w:hAnsi="仿宋_GB2312" w:eastAsia="仿宋_GB2312" w:cs="仿宋_GB2312"/>
                <w:spacing w:val="7"/>
                <w:sz w:val="24"/>
                <w:szCs w:val="24"/>
                <w:lang w:val="en-US" w:eastAsia="zh-CN"/>
              </w:rPr>
              <w:t>19</w:t>
            </w:r>
            <w:r>
              <w:rPr>
                <w:rFonts w:ascii="仿宋_GB2312" w:hAnsi="仿宋_GB2312" w:eastAsia="仿宋_GB2312" w:cs="仿宋_GB2312"/>
                <w:spacing w:val="7"/>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      上年结转资金</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  其他资金</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950" w:type="dxa"/>
            <w:gridSpan w:val="2"/>
            <w:vMerge w:val="restart"/>
            <w:tcBorders>
              <w:top w:val="nil"/>
              <w:left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年度总体目标</w:t>
            </w: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预期目标</w:t>
            </w:r>
          </w:p>
        </w:tc>
        <w:tc>
          <w:tcPr>
            <w:tcW w:w="4091"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4"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120.00万元</w:t>
            </w:r>
          </w:p>
        </w:tc>
        <w:tc>
          <w:tcPr>
            <w:tcW w:w="4091"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115.43万元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8" w:type="dxa"/>
            <w:vMerge w:val="restart"/>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绩效指标</w:t>
            </w:r>
          </w:p>
        </w:tc>
        <w:tc>
          <w:tcPr>
            <w:tcW w:w="492"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一级指标</w:t>
            </w:r>
          </w:p>
        </w:tc>
        <w:tc>
          <w:tcPr>
            <w:tcW w:w="993"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二级指标</w:t>
            </w:r>
          </w:p>
        </w:tc>
        <w:tc>
          <w:tcPr>
            <w:tcW w:w="1125" w:type="dxa"/>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三级指标</w:t>
            </w:r>
          </w:p>
        </w:tc>
        <w:tc>
          <w:tcPr>
            <w:tcW w:w="1806"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年度</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指标值</w:t>
            </w:r>
          </w:p>
        </w:tc>
        <w:tc>
          <w:tcPr>
            <w:tcW w:w="1224"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实际</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完成值</w:t>
            </w:r>
          </w:p>
        </w:tc>
        <w:tc>
          <w:tcPr>
            <w:tcW w:w="795"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权重</w:t>
            </w:r>
          </w:p>
        </w:tc>
        <w:tc>
          <w:tcPr>
            <w:tcW w:w="899"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得分</w:t>
            </w:r>
          </w:p>
        </w:tc>
        <w:tc>
          <w:tcPr>
            <w:tcW w:w="1173" w:type="dxa"/>
            <w:gridSpan w:val="2"/>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产出指标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数量</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highlight w:val="yellow"/>
              </w:rPr>
            </w:pPr>
            <w:r>
              <w:rPr>
                <w:rFonts w:hint="eastAsia" w:ascii="仿宋_GB2312" w:hAnsi="仿宋_GB2312" w:eastAsia="仿宋_GB2312" w:cs="仿宋_GB2312"/>
                <w:spacing w:val="7"/>
                <w:sz w:val="24"/>
                <w:szCs w:val="24"/>
              </w:rPr>
              <w:t>关食堂就餐人数</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highlight w:val="yellow"/>
                <w:lang w:val="en-US" w:eastAsia="zh-CN"/>
              </w:rPr>
            </w:pPr>
            <w:r>
              <w:rPr>
                <w:rFonts w:hint="eastAsia" w:ascii="仿宋_GB2312" w:hAnsi="仿宋_GB2312" w:eastAsia="仿宋_GB2312" w:cs="仿宋_GB2312"/>
                <w:spacing w:val="7"/>
                <w:sz w:val="24"/>
                <w:szCs w:val="24"/>
                <w:highlight w:val="none"/>
                <w:lang w:val="en-US" w:eastAsia="zh-CN"/>
              </w:rPr>
              <w:t>570人</w:t>
            </w: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highlight w:val="none"/>
                <w:lang w:val="en-US" w:eastAsia="zh-CN"/>
              </w:rPr>
              <w:t>570人</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20</w:t>
            </w:r>
          </w:p>
        </w:tc>
        <w:tc>
          <w:tcPr>
            <w:tcW w:w="89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20</w:t>
            </w:r>
          </w:p>
        </w:tc>
        <w:tc>
          <w:tcPr>
            <w:tcW w:w="117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质量</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89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17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时效</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hint="eastAsia" w:ascii="仿宋_GB2312" w:hAnsi="仿宋_GB2312" w:eastAsia="仿宋_GB2312" w:cs="仿宋_GB2312"/>
                <w:spacing w:val="7"/>
                <w:sz w:val="24"/>
                <w:szCs w:val="24"/>
                <w:highlight w:val="yellow"/>
                <w:lang w:eastAsia="zh-CN"/>
              </w:rPr>
            </w:pPr>
            <w:r>
              <w:rPr>
                <w:rFonts w:hint="eastAsia" w:ascii="仿宋_GB2312" w:hAnsi="仿宋_GB2312" w:eastAsia="仿宋_GB2312" w:cs="仿宋_GB2312"/>
                <w:spacing w:val="7"/>
                <w:sz w:val="24"/>
                <w:szCs w:val="24"/>
                <w:lang w:eastAsia="zh-CN"/>
              </w:rPr>
              <w:t>项目完成及时率</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100.00%</w:t>
            </w: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100.00%</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10</w:t>
            </w:r>
          </w:p>
        </w:tc>
        <w:tc>
          <w:tcPr>
            <w:tcW w:w="89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10</w:t>
            </w:r>
          </w:p>
        </w:tc>
        <w:tc>
          <w:tcPr>
            <w:tcW w:w="117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成本</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hint="eastAsia"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eastAsia="zh-CN"/>
              </w:rPr>
              <w:t>机关食堂运行</w:t>
            </w:r>
            <w:r>
              <w:rPr>
                <w:rFonts w:hint="eastAsia" w:ascii="仿宋_GB2312" w:hAnsi="仿宋_GB2312" w:eastAsia="仿宋_GB2312" w:cs="仿宋_GB2312"/>
                <w:spacing w:val="7"/>
                <w:sz w:val="24"/>
                <w:szCs w:val="24"/>
              </w:rPr>
              <w:t>成本控制在预算内</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120.00</w:t>
            </w:r>
            <w:r>
              <w:rPr>
                <w:rFonts w:hint="eastAsia" w:ascii="仿宋_GB2312" w:hAnsi="仿宋_GB2312" w:eastAsia="仿宋_GB2312" w:cs="仿宋_GB2312"/>
                <w:spacing w:val="7"/>
                <w:sz w:val="24"/>
                <w:szCs w:val="24"/>
              </w:rPr>
              <w:t>万</w:t>
            </w: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115.43万元</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20</w:t>
            </w:r>
          </w:p>
        </w:tc>
        <w:tc>
          <w:tcPr>
            <w:tcW w:w="89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18</w:t>
            </w:r>
          </w:p>
        </w:tc>
        <w:tc>
          <w:tcPr>
            <w:tcW w:w="117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lang w:val="en-US" w:eastAsia="zh-CN"/>
              </w:rPr>
              <w:t>有4.57万元结余，故导致批复资金与实际支出资金不相符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restart"/>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效益指标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经济效益指标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89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17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highlight w:val="none"/>
              </w:rPr>
            </w:pPr>
            <w:r>
              <w:rPr>
                <w:rFonts w:hint="eastAsia" w:ascii="仿宋_GB2312" w:hAnsi="仿宋_GB2312" w:eastAsia="仿宋_GB2312" w:cs="仿宋_GB2312"/>
                <w:spacing w:val="7"/>
                <w:sz w:val="24"/>
                <w:szCs w:val="24"/>
                <w:highlight w:val="none"/>
              </w:rPr>
              <w:t>社会效益指标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highlight w:val="none"/>
              </w:rPr>
            </w:pPr>
            <w:r>
              <w:rPr>
                <w:rFonts w:hint="eastAsia" w:ascii="仿宋_GB2312" w:hAnsi="仿宋_GB2312" w:eastAsia="仿宋_GB2312" w:cs="仿宋_GB2312"/>
                <w:spacing w:val="7"/>
                <w:sz w:val="24"/>
                <w:szCs w:val="24"/>
                <w:highlight w:val="none"/>
              </w:rPr>
              <w:t>保障行政中心干部后勤工作</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highlight w:val="yellow"/>
              </w:rPr>
            </w:pPr>
            <w:r>
              <w:rPr>
                <w:rFonts w:hint="eastAsia" w:ascii="仿宋_GB2312" w:hAnsi="仿宋_GB2312" w:eastAsia="仿宋_GB2312" w:cs="仿宋_GB2312"/>
                <w:spacing w:val="7"/>
                <w:sz w:val="24"/>
                <w:szCs w:val="24"/>
                <w:highlight w:val="none"/>
              </w:rPr>
              <w:t>保障行政中心干部后勤工作</w:t>
            </w: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highlight w:val="none"/>
              </w:rPr>
              <w:t>保障行政中心干部后勤工作</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30</w:t>
            </w:r>
          </w:p>
        </w:tc>
        <w:tc>
          <w:tcPr>
            <w:tcW w:w="89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28</w:t>
            </w:r>
          </w:p>
        </w:tc>
        <w:tc>
          <w:tcPr>
            <w:tcW w:w="117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生态效益指标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89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17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atLeast"/>
        </w:trPr>
        <w:tc>
          <w:tcPr>
            <w:tcW w:w="458" w:type="dxa"/>
            <w:vMerge w:val="restart"/>
            <w:tcBorders>
              <w:top w:val="nil"/>
              <w:left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可持续影响指标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89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17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满意度</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服务对象满意度指标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服务对象满意度</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w:t>
            </w:r>
            <w:r>
              <w:rPr>
                <w:rFonts w:hint="eastAsia" w:ascii="仿宋_GB2312" w:hAnsi="仿宋_GB2312" w:eastAsia="仿宋_GB2312" w:cs="仿宋_GB2312"/>
                <w:spacing w:val="7"/>
                <w:sz w:val="24"/>
                <w:szCs w:val="24"/>
                <w:lang w:val="en-US" w:eastAsia="zh-CN"/>
              </w:rPr>
              <w:t>95</w:t>
            </w:r>
            <w:r>
              <w:rPr>
                <w:rFonts w:hint="eastAsia" w:ascii="仿宋_GB2312" w:hAnsi="仿宋_GB2312" w:eastAsia="仿宋_GB2312" w:cs="仿宋_GB2312"/>
                <w:spacing w:val="7"/>
                <w:sz w:val="24"/>
                <w:szCs w:val="24"/>
              </w:rPr>
              <w:t>.00%</w:t>
            </w: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100</w:t>
            </w:r>
            <w:r>
              <w:rPr>
                <w:rFonts w:hint="eastAsia" w:ascii="仿宋_GB2312" w:hAnsi="仿宋_GB2312" w:eastAsia="仿宋_GB2312" w:cs="仿宋_GB2312"/>
                <w:spacing w:val="7"/>
                <w:sz w:val="24"/>
                <w:szCs w:val="24"/>
              </w:rPr>
              <w:t>.00%</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20</w:t>
            </w:r>
          </w:p>
        </w:tc>
        <w:tc>
          <w:tcPr>
            <w:tcW w:w="89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20</w:t>
            </w:r>
          </w:p>
        </w:tc>
        <w:tc>
          <w:tcPr>
            <w:tcW w:w="117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6098" w:type="dxa"/>
            <w:gridSpan w:val="8"/>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总分</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100</w:t>
            </w:r>
          </w:p>
        </w:tc>
        <w:tc>
          <w:tcPr>
            <w:tcW w:w="899"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96</w:t>
            </w:r>
          </w:p>
        </w:tc>
        <w:tc>
          <w:tcPr>
            <w:tcW w:w="117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35"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自评结论</w:t>
            </w:r>
          </w:p>
        </w:tc>
        <w:tc>
          <w:tcPr>
            <w:tcW w:w="4263" w:type="dxa"/>
            <w:gridSpan w:val="5"/>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color w:val="000000"/>
                <w:sz w:val="24"/>
                <w:szCs w:val="24"/>
              </w:rPr>
              <w:t>优</w:t>
            </w:r>
            <w:r>
              <w:rPr>
                <w:rFonts w:hint="eastAsia" w:ascii="仿宋_GB2312" w:hAnsi="仿宋_GB2312" w:eastAsia="仿宋_GB2312" w:cs="仿宋_GB2312"/>
                <w:color w:val="000000"/>
                <w:sz w:val="24"/>
                <w:szCs w:val="24"/>
              </w:rPr>
              <w:sym w:font="Wingdings 2" w:char="0052"/>
            </w:r>
            <w:r>
              <w:rPr>
                <w:rFonts w:hint="eastAsia" w:ascii="仿宋_GB2312" w:hAnsi="仿宋_GB2312" w:eastAsia="仿宋_GB2312" w:cs="仿宋_GB2312"/>
                <w:color w:val="000000"/>
                <w:sz w:val="24"/>
                <w:szCs w:val="24"/>
              </w:rPr>
              <w:t xml:space="preserve">      良□      中□    差□</w:t>
            </w:r>
          </w:p>
        </w:tc>
        <w:tc>
          <w:tcPr>
            <w:tcW w:w="2867" w:type="dxa"/>
            <w:gridSpan w:val="5"/>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color w:val="000000"/>
                <w:sz w:val="24"/>
                <w:szCs w:val="24"/>
              </w:rPr>
              <w:t>总分高于90分（含）的结论为“优”，90～80分（含）为“良”，80～60分（含）为“中”，低于60分为“差”。</w:t>
            </w:r>
          </w:p>
        </w:tc>
      </w:tr>
    </w:tbl>
    <w:p>
      <w:pPr>
        <w:pStyle w:val="2"/>
        <w:widowControl w:val="0"/>
        <w:numPr>
          <w:ilvl w:val="0"/>
          <w:numId w:val="0"/>
        </w:numPr>
        <w:autoSpaceDE w:val="0"/>
        <w:autoSpaceDN w:val="0"/>
        <w:adjustRightInd w:val="0"/>
        <w:ind w:firstLine="960" w:firstLineChars="300"/>
        <w:rPr>
          <w:rFonts w:hint="eastAsia" w:ascii="仿宋" w:hAnsi="Times New Roman" w:eastAsia="仿宋" w:cs="仿宋"/>
          <w:color w:val="000000"/>
          <w:sz w:val="32"/>
          <w:szCs w:val="32"/>
          <w:highlight w:val="white"/>
        </w:rPr>
      </w:pPr>
    </w:p>
    <w:p>
      <w:pPr>
        <w:pStyle w:val="2"/>
        <w:widowControl w:val="0"/>
        <w:numPr>
          <w:ilvl w:val="0"/>
          <w:numId w:val="0"/>
        </w:numPr>
        <w:autoSpaceDE w:val="0"/>
        <w:autoSpaceDN w:val="0"/>
        <w:adjustRightInd w:val="0"/>
        <w:ind w:firstLine="960" w:firstLineChars="300"/>
        <w:rPr>
          <w:rFonts w:hint="eastAsia" w:ascii="仿宋" w:hAnsi="Times New Roman" w:eastAsia="仿宋" w:cs="仿宋"/>
          <w:color w:val="000000"/>
          <w:sz w:val="32"/>
          <w:szCs w:val="32"/>
          <w:highlight w:val="white"/>
        </w:rPr>
      </w:pPr>
    </w:p>
    <w:p>
      <w:pPr>
        <w:numPr>
          <w:ilvl w:val="0"/>
          <w:numId w:val="0"/>
        </w:numPr>
        <w:spacing w:beforeLines="0" w:afterLines="0" w:line="324" w:lineRule="auto"/>
        <w:ind w:firstLine="643" w:firstLineChars="200"/>
        <w:rPr>
          <w:rFonts w:hint="default" w:ascii="仿宋" w:hAnsi="仿宋" w:eastAsia="仿宋"/>
          <w:b w:val="0"/>
          <w:bCs/>
          <w:color w:val="000000"/>
          <w:sz w:val="32"/>
          <w:highlight w:val="white"/>
          <w:lang w:eastAsia="zh-CN"/>
        </w:rPr>
      </w:pPr>
      <w:r>
        <w:rPr>
          <w:rFonts w:hint="eastAsia" w:ascii="仿宋" w:hAnsi="仿宋" w:eastAsia="仿宋"/>
          <w:b/>
          <w:color w:val="000000"/>
          <w:sz w:val="32"/>
          <w:highlight w:val="white"/>
          <w:lang w:val="en-US" w:eastAsia="zh-CN"/>
        </w:rPr>
        <w:t>3、</w:t>
      </w:r>
      <w:r>
        <w:rPr>
          <w:rFonts w:hint="eastAsia" w:ascii="仿宋" w:hAnsi="仿宋" w:eastAsia="仿宋"/>
          <w:b/>
          <w:color w:val="000000"/>
          <w:sz w:val="32"/>
          <w:highlight w:val="white"/>
          <w:lang w:val="en-US"/>
        </w:rPr>
        <w:t>财政评价项目绩效评价结果</w:t>
      </w:r>
      <w:r>
        <w:rPr>
          <w:rFonts w:hint="default" w:ascii="仿宋" w:hAnsi="仿宋" w:eastAsia="仿宋"/>
          <w:b/>
          <w:color w:val="000000"/>
          <w:sz w:val="32"/>
          <w:highlight w:val="white"/>
        </w:rPr>
        <w:t>：</w:t>
      </w:r>
      <w:r>
        <w:rPr>
          <w:rFonts w:hint="eastAsia" w:ascii="仿宋" w:hAnsi="仿宋" w:eastAsia="仿宋"/>
          <w:b/>
          <w:color w:val="000000"/>
          <w:sz w:val="32"/>
          <w:highlight w:val="white"/>
          <w:lang w:val="en-US" w:eastAsia="zh-CN"/>
        </w:rPr>
        <w:t>无</w:t>
      </w:r>
      <w:r>
        <w:rPr>
          <w:rFonts w:hint="default" w:ascii="仿宋" w:hAnsi="仿宋" w:eastAsia="仿宋"/>
          <w:b/>
          <w:color w:val="000000"/>
          <w:sz w:val="32"/>
          <w:highlight w:val="white"/>
          <w:lang w:eastAsia="zh-CN"/>
        </w:rPr>
        <w:t>。</w:t>
      </w:r>
    </w:p>
    <w:p>
      <w:pPr>
        <w:numPr>
          <w:ilvl w:val="0"/>
          <w:numId w:val="0"/>
        </w:numPr>
        <w:spacing w:beforeLines="0" w:afterLines="0" w:line="324" w:lineRule="auto"/>
        <w:ind w:left="594" w:leftChars="0"/>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eastAsia="zh-CN"/>
        </w:rPr>
        <w:t>4、</w:t>
      </w:r>
      <w:r>
        <w:rPr>
          <w:rFonts w:hint="eastAsia" w:ascii="仿宋" w:hAnsi="仿宋" w:eastAsia="仿宋"/>
          <w:b/>
          <w:color w:val="000000"/>
          <w:sz w:val="32"/>
          <w:highlight w:val="white"/>
          <w:lang w:val="en-US"/>
        </w:rPr>
        <w:t>部门评价项目绩效评价结果</w:t>
      </w:r>
    </w:p>
    <w:p>
      <w:pPr>
        <w:spacing w:line="324" w:lineRule="auto"/>
        <w:ind w:firstLine="594"/>
        <w:rPr>
          <w:rFonts w:hint="default"/>
          <w:lang w:val="en-US"/>
        </w:rPr>
      </w:pPr>
      <w:r>
        <w:rPr>
          <w:rFonts w:hint="eastAsia" w:ascii="仿宋" w:hAnsi="仿宋" w:eastAsia="仿宋" w:cs="Times New Roman"/>
          <w:color w:val="000000"/>
          <w:sz w:val="32"/>
          <w:highlight w:val="white"/>
        </w:rPr>
        <w:t>景宁县</w:t>
      </w:r>
      <w:r>
        <w:rPr>
          <w:rFonts w:hint="eastAsia" w:ascii="仿宋" w:hAnsi="仿宋" w:eastAsia="仿宋" w:cs="Times New Roman"/>
          <w:color w:val="000000"/>
          <w:sz w:val="32"/>
          <w:highlight w:val="white"/>
          <w:lang w:eastAsia="zh-CN"/>
        </w:rPr>
        <w:t>机关事务保障中心</w:t>
      </w:r>
      <w:r>
        <w:rPr>
          <w:rFonts w:hint="eastAsia" w:ascii="仿宋" w:hAnsi="仿宋" w:eastAsia="仿宋" w:cs="Times New Roman"/>
          <w:color w:val="000000"/>
          <w:sz w:val="32"/>
          <w:highlight w:val="white"/>
        </w:rPr>
        <w:t>委托丽水伟峰税务师事务所（普通合伙）开展2020年度项目绩效评价工作，对</w:t>
      </w:r>
      <w:r>
        <w:rPr>
          <w:rFonts w:hint="eastAsia" w:ascii="仿宋" w:hAnsi="Times New Roman" w:eastAsia="仿宋" w:cs="仿宋"/>
          <w:color w:val="000000"/>
          <w:sz w:val="32"/>
          <w:szCs w:val="32"/>
          <w:highlight w:val="white"/>
          <w:lang w:eastAsia="zh-CN"/>
        </w:rPr>
        <w:t>“大院零星修缮款</w:t>
      </w:r>
      <w:r>
        <w:rPr>
          <w:rFonts w:hint="eastAsia"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lang w:eastAsia="zh-CN"/>
        </w:rPr>
        <w:t>、“机关食堂运行经费”</w:t>
      </w:r>
      <w:r>
        <w:rPr>
          <w:rFonts w:hint="eastAsia" w:ascii="仿宋" w:hAnsi="仿宋" w:eastAsia="仿宋" w:cs="Times New Roman"/>
          <w:color w:val="000000"/>
          <w:sz w:val="32"/>
          <w:highlight w:val="white"/>
        </w:rPr>
        <w:t>等预算项目按照评价指标和标准进行绩效评价。2020年度景宁县</w:t>
      </w:r>
      <w:r>
        <w:rPr>
          <w:rFonts w:hint="eastAsia" w:ascii="仿宋" w:hAnsi="仿宋" w:eastAsia="仿宋" w:cs="Times New Roman"/>
          <w:color w:val="000000"/>
          <w:sz w:val="32"/>
          <w:highlight w:val="white"/>
          <w:lang w:eastAsia="zh-CN"/>
        </w:rPr>
        <w:t>机关事务保障中心</w:t>
      </w:r>
      <w:r>
        <w:rPr>
          <w:rFonts w:hint="eastAsia" w:ascii="仿宋" w:hAnsi="仿宋" w:eastAsia="仿宋" w:cs="Times New Roman"/>
          <w:color w:val="000000"/>
          <w:sz w:val="32"/>
          <w:highlight w:val="white"/>
        </w:rPr>
        <w:t>预算项目开展顺利，项目支出达到预期的绩效目标。</w:t>
      </w:r>
    </w:p>
    <w:p>
      <w:pPr>
        <w:spacing w:beforeLines="0" w:afterLines="0" w:line="324" w:lineRule="auto"/>
        <w:ind w:firstLine="600"/>
        <w:rPr>
          <w:rFonts w:hint="default" w:ascii="Times New Roman" w:hAnsi="Times New Roman" w:eastAsia="Times New Roman"/>
          <w:b/>
          <w:color w:val="000000"/>
          <w:sz w:val="32"/>
          <w:highlight w:val="white"/>
          <w:lang w:val="en-US"/>
        </w:rPr>
      </w:pPr>
      <w:r>
        <w:rPr>
          <w:rFonts w:hint="eastAsia" w:ascii="黑体" w:hAnsi="黑体" w:eastAsia="黑体"/>
          <w:b/>
          <w:color w:val="000000"/>
          <w:sz w:val="32"/>
          <w:highlight w:val="white"/>
          <w:lang w:val="en-US"/>
        </w:rPr>
        <w:t>四、名词解释</w:t>
      </w:r>
    </w:p>
    <w:p>
      <w:pPr>
        <w:autoSpaceDE w:val="0"/>
        <w:autoSpaceDN w:val="0"/>
        <w:adjustRightInd w:val="0"/>
        <w:spacing w:line="324" w:lineRule="auto"/>
        <w:ind w:firstLine="594"/>
        <w:rPr>
          <w:rFonts w:ascii="仿宋" w:hAnsi="Times New Roman" w:eastAsia="仿宋" w:cs="仿宋"/>
          <w:color w:val="000000"/>
          <w:sz w:val="32"/>
          <w:szCs w:val="32"/>
          <w:highlight w:val="white"/>
          <w:lang w:val="zh-CN"/>
        </w:rPr>
      </w:pPr>
      <w:r>
        <w:rPr>
          <w:rFonts w:ascii="仿宋" w:hAnsi="Times New Roman" w:eastAsia="仿宋" w:cs="仿宋"/>
          <w:color w:val="000000"/>
          <w:sz w:val="32"/>
          <w:szCs w:val="32"/>
          <w:highlight w:val="white"/>
          <w:lang w:val="zh-CN"/>
        </w:rPr>
        <w:t>1.</w:t>
      </w:r>
      <w:r>
        <w:rPr>
          <w:rFonts w:hint="eastAsia" w:ascii="仿宋" w:hAnsi="Times New Roman" w:eastAsia="仿宋" w:cs="仿宋"/>
          <w:color w:val="000000"/>
          <w:sz w:val="32"/>
          <w:szCs w:val="32"/>
          <w:highlight w:val="white"/>
          <w:lang w:val="zh-CN"/>
        </w:rPr>
        <w:t>财政拨款收入：指本级财政部门当年拨付的财政预算资金，包括一般公共预算财政拨款、政府性基金预算财政拨款和国有资本经预算财政拨款。</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lang w:val="zh-CN"/>
        </w:rPr>
        <w:t>2.</w:t>
      </w:r>
      <w:r>
        <w:rPr>
          <w:rFonts w:hint="eastAsia" w:ascii="仿宋" w:hAnsi="Times New Roman" w:eastAsia="仿宋" w:cs="仿宋"/>
          <w:color w:val="000000"/>
          <w:sz w:val="32"/>
          <w:szCs w:val="32"/>
          <w:highlight w:val="white"/>
          <w:lang w:val="zh-CN"/>
        </w:rPr>
        <w:t>事业收入：指事业单位开展专业业务活动及辅助活动所取得的收入。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3.</w:t>
      </w:r>
      <w:r>
        <w:rPr>
          <w:rFonts w:hint="eastAsia" w:ascii="仿宋" w:hAnsi="Times New Roman" w:eastAsia="仿宋" w:cs="仿宋"/>
          <w:color w:val="000000"/>
          <w:sz w:val="32"/>
          <w:szCs w:val="32"/>
          <w:highlight w:val="white"/>
        </w:rPr>
        <w:t>经营收入：指事业单位在专业业务活动及辅助活动之外开展非独立核算经营活动取得的收入。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rPr>
        <w:t>上级补助收入：指事业单位从主管部门和上级单位取得的非财政补助收入。</w:t>
      </w:r>
    </w:p>
    <w:p>
      <w:pPr>
        <w:autoSpaceDE w:val="0"/>
        <w:autoSpaceDN w:val="0"/>
        <w:adjustRightInd w:val="0"/>
        <w:spacing w:line="324" w:lineRule="auto"/>
        <w:ind w:firstLine="594"/>
        <w:rPr>
          <w:rFonts w:hint="eastAsia"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5.</w:t>
      </w:r>
      <w:r>
        <w:rPr>
          <w:rFonts w:hint="eastAsia" w:ascii="仿宋" w:hAnsi="Times New Roman" w:eastAsia="仿宋" w:cs="仿宋"/>
          <w:color w:val="000000"/>
          <w:sz w:val="32"/>
          <w:szCs w:val="32"/>
          <w:highlight w:val="white"/>
        </w:rPr>
        <w:t>附属单位上缴收入：指事业单位附属独立核算单位按照有关规定上缴的收入。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6.</w:t>
      </w:r>
      <w:r>
        <w:rPr>
          <w:rFonts w:hint="eastAsia" w:ascii="仿宋" w:hAnsi="Times New Roman" w:eastAsia="仿宋" w:cs="仿宋"/>
          <w:color w:val="000000"/>
          <w:sz w:val="32"/>
          <w:szCs w:val="32"/>
          <w:highlight w:val="white"/>
        </w:rPr>
        <w:t>其他收入：指预算单位在</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财政拨款</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事业收入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经营收入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上级补助收入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附属单位上缴收入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等之外取得的各项收入。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7.</w:t>
      </w:r>
      <w:r>
        <w:rPr>
          <w:rFonts w:hint="eastAsia" w:ascii="仿宋" w:hAnsi="Times New Roman" w:eastAsia="仿宋" w:cs="仿宋"/>
          <w:color w:val="000000"/>
          <w:sz w:val="32"/>
          <w:szCs w:val="32"/>
          <w:highlight w:val="white"/>
        </w:rPr>
        <w:t>使用非财政拨款结余：指事业单位使用以前年度积累的非财政拨款结余弥补当年收支差额的金额。</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8.</w:t>
      </w:r>
      <w:r>
        <w:rPr>
          <w:rFonts w:hint="eastAsia" w:ascii="仿宋" w:hAnsi="Times New Roman" w:eastAsia="仿宋" w:cs="仿宋"/>
          <w:color w:val="000000"/>
          <w:sz w:val="32"/>
          <w:szCs w:val="32"/>
          <w:highlight w:val="white"/>
        </w:rPr>
        <w:t>年初结转和结余：指预算单位以前年度尚未完成、结转到本年仍按原规定用途继续使用的资金。</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9.</w:t>
      </w:r>
      <w:r>
        <w:rPr>
          <w:rFonts w:hint="eastAsia" w:ascii="仿宋" w:hAnsi="Times New Roman" w:eastAsia="仿宋" w:cs="仿宋"/>
          <w:color w:val="000000"/>
          <w:sz w:val="32"/>
          <w:szCs w:val="32"/>
          <w:highlight w:val="white"/>
        </w:rPr>
        <w:t>年末结转和结余：指单位按有关规定结转到下年或以后年度继续使用的资金。</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10.</w:t>
      </w:r>
      <w:r>
        <w:rPr>
          <w:rFonts w:hint="eastAsia" w:ascii="仿宋" w:hAnsi="Times New Roman" w:eastAsia="仿宋" w:cs="仿宋"/>
          <w:color w:val="000000"/>
          <w:sz w:val="32"/>
          <w:szCs w:val="32"/>
          <w:highlight w:val="white"/>
        </w:rPr>
        <w:t>基本支出：指预算单位为保障其正常运转，完成日常工作任务所发生的支出，包括人员经费支出和日常公用经费支出。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11.</w:t>
      </w:r>
      <w:r>
        <w:rPr>
          <w:rFonts w:hint="eastAsia" w:ascii="仿宋" w:hAnsi="Times New Roman" w:eastAsia="仿宋" w:cs="仿宋"/>
          <w:color w:val="000000"/>
          <w:sz w:val="32"/>
          <w:szCs w:val="32"/>
          <w:highlight w:val="white"/>
        </w:rPr>
        <w:t>项目支出：指预算单位为完成其特定的行政工作任务或事业发展目标所发生的支出。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12.</w:t>
      </w:r>
      <w:r>
        <w:rPr>
          <w:rFonts w:hint="eastAsia" w:ascii="仿宋" w:hAnsi="Times New Roman" w:eastAsia="仿宋" w:cs="仿宋"/>
          <w:color w:val="000000"/>
          <w:sz w:val="32"/>
          <w:szCs w:val="32"/>
          <w:highlight w:val="white"/>
        </w:rPr>
        <w:t>上缴上级支出：填列事业单位按照财政部门和主管部门的规定上缴上级单位的支出。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13.</w:t>
      </w:r>
      <w:r>
        <w:rPr>
          <w:rFonts w:hint="eastAsia" w:ascii="仿宋" w:hAnsi="Times New Roman" w:eastAsia="仿宋" w:cs="仿宋"/>
          <w:color w:val="000000"/>
          <w:sz w:val="32"/>
          <w:szCs w:val="32"/>
          <w:highlight w:val="white"/>
        </w:rPr>
        <w:t>经营支出：指事业单位在专业业务活动及其辅助活动之外开展非独立核算经营活动发生的支出。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14.</w:t>
      </w:r>
      <w:r>
        <w:rPr>
          <w:rFonts w:hint="eastAsia" w:ascii="仿宋" w:hAnsi="Times New Roman" w:eastAsia="仿宋" w:cs="仿宋"/>
          <w:color w:val="000000"/>
          <w:sz w:val="32"/>
          <w:szCs w:val="32"/>
          <w:highlight w:val="white"/>
        </w:rPr>
        <w:t>附属单位补助支出：填列事业单位用财政补助收入之外的收入对附属单位补助发生的支出。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15.“</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经费：纳入财政预决算管理的</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16.</w:t>
      </w:r>
      <w:r>
        <w:rPr>
          <w:rFonts w:hint="eastAsia" w:ascii="仿宋" w:hAnsi="Times New Roman" w:eastAsia="仿宋" w:cs="仿宋"/>
          <w:color w:val="000000"/>
          <w:sz w:val="32"/>
          <w:szCs w:val="32"/>
          <w:highlight w:val="white"/>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24" w:lineRule="auto"/>
        <w:ind w:firstLine="594"/>
        <w:rPr>
          <w:rFonts w:ascii="仿宋" w:hAnsi="仿宋" w:eastAsia="仿宋"/>
          <w:color w:val="000000"/>
          <w:sz w:val="32"/>
          <w:highlight w:val="white"/>
        </w:rPr>
      </w:pPr>
      <w:r>
        <w:rPr>
          <w:rFonts w:hint="eastAsia" w:ascii="仿宋" w:hAnsi="仿宋" w:eastAsia="仿宋"/>
          <w:color w:val="000000"/>
          <w:sz w:val="32"/>
          <w:highlight w:val="white"/>
        </w:rPr>
        <w:t>一般公共服务支出（类）政府办公厅（室）及相关机构事务（款）行政运行（项）：指反映行政单位（包括实行公务员管理的事业单位）的支出。</w:t>
      </w:r>
    </w:p>
    <w:p>
      <w:pPr>
        <w:pStyle w:val="2"/>
        <w:ind w:firstLine="640" w:firstLineChars="200"/>
        <w:rPr>
          <w:rFonts w:hint="default" w:ascii="仿宋" w:hAnsi="Times New Roman" w:eastAsia="仿宋" w:cs="仿宋"/>
          <w:kern w:val="2"/>
          <w:sz w:val="32"/>
          <w:szCs w:val="32"/>
          <w:highlight w:val="white"/>
        </w:rPr>
      </w:pPr>
      <w:r>
        <w:rPr>
          <w:rFonts w:ascii="仿宋" w:hAnsi="Times New Roman" w:eastAsia="仿宋" w:cs="仿宋"/>
          <w:kern w:val="2"/>
          <w:sz w:val="32"/>
          <w:szCs w:val="32"/>
          <w:highlight w:val="white"/>
        </w:rPr>
        <w:t>17.一般公共服务支出（类）政府办公厅（室）及相关机构事务（款）一般行政管理事务（项）：指反映行政单位（包括实行公务员管理的事业单位）未单独设置项级科目的其他项目支出。</w:t>
      </w:r>
    </w:p>
    <w:p>
      <w:pPr>
        <w:widowControl/>
        <w:shd w:val="clear" w:color="auto" w:fill="FFFFFF"/>
        <w:spacing w:line="600" w:lineRule="atLeast"/>
        <w:ind w:firstLine="540"/>
        <w:jc w:val="left"/>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18.一般公共服务支出（类）政府办公厅（室）及相关机构事务（款）事业运行（项）:指用于单位事业编制人员工资福利和对其个人与家庭的补助支出。</w:t>
      </w:r>
    </w:p>
    <w:p>
      <w:pPr>
        <w:widowControl/>
        <w:shd w:val="clear" w:color="auto" w:fill="FFFFFF"/>
        <w:spacing w:line="600" w:lineRule="atLeast"/>
        <w:ind w:firstLine="480"/>
        <w:jc w:val="left"/>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19.一般公共服务支出（类）政府办公厅（室）及相关机构事务（款） 其他政府办公厅（室）及相关机构事务支出（项）：指其他政府提供一般公共服务的支出。</w:t>
      </w:r>
    </w:p>
    <w:p>
      <w:pPr>
        <w:widowControl/>
        <w:shd w:val="clear" w:color="auto" w:fill="FFFFFF"/>
        <w:spacing w:line="600" w:lineRule="atLeast"/>
        <w:ind w:firstLine="640" w:firstLineChars="200"/>
        <w:jc w:val="left"/>
        <w:rPr>
          <w:rFonts w:ascii="仿宋" w:hAnsi="仿宋" w:eastAsia="仿宋"/>
          <w:color w:val="000000"/>
          <w:sz w:val="32"/>
          <w:highlight w:val="white"/>
        </w:rPr>
      </w:pPr>
      <w:r>
        <w:rPr>
          <w:rFonts w:hint="eastAsia" w:ascii="仿宋" w:hAnsi="Times New Roman" w:eastAsia="仿宋" w:cs="仿宋"/>
          <w:color w:val="000000"/>
          <w:sz w:val="32"/>
          <w:szCs w:val="32"/>
          <w:highlight w:val="white"/>
        </w:rPr>
        <w:t>20.</w:t>
      </w:r>
      <w:r>
        <w:rPr>
          <w:rFonts w:hint="eastAsia" w:ascii="仿宋" w:hAnsi="仿宋" w:eastAsia="仿宋"/>
          <w:color w:val="000000"/>
          <w:sz w:val="32"/>
          <w:highlight w:val="white"/>
        </w:rPr>
        <w:t xml:space="preserve"> 科学技术支出（类）科学技术管理事务（款）  一般行政管理事务（项）：反映行政单位（包括实行公务员管理的事业单位）未单独设置项级科目的其他项目支出。</w:t>
      </w:r>
    </w:p>
    <w:p>
      <w:pPr>
        <w:pStyle w:val="2"/>
        <w:ind w:firstLine="640" w:firstLineChars="200"/>
        <w:rPr>
          <w:rFonts w:hint="default" w:ascii="仿宋" w:hAnsi="Times New Roman" w:eastAsia="仿宋" w:cs="仿宋"/>
          <w:kern w:val="2"/>
          <w:sz w:val="32"/>
          <w:szCs w:val="32"/>
          <w:highlight w:val="white"/>
        </w:rPr>
      </w:pPr>
      <w:r>
        <w:rPr>
          <w:rFonts w:ascii="仿宋" w:hAnsi="Times New Roman" w:eastAsia="仿宋" w:cs="仿宋"/>
          <w:kern w:val="2"/>
          <w:sz w:val="32"/>
          <w:szCs w:val="32"/>
          <w:highlight w:val="white"/>
        </w:rPr>
        <w:t>21．社会保障和就业支出（类）行政事业单位离退休（款） 未归口管理的行政单位离退休（项）：指反映未实行归口管理的行政单位（包括实行公务员管理的事业单位）开支的离退休支出。</w:t>
      </w:r>
    </w:p>
    <w:p>
      <w:pPr>
        <w:pStyle w:val="2"/>
        <w:ind w:firstLine="640" w:firstLineChars="200"/>
        <w:rPr>
          <w:rFonts w:hint="default" w:ascii="仿宋" w:hAnsi="Times New Roman" w:eastAsia="仿宋" w:cs="仿宋"/>
          <w:kern w:val="2"/>
          <w:sz w:val="32"/>
          <w:szCs w:val="32"/>
          <w:highlight w:val="white"/>
        </w:rPr>
      </w:pPr>
      <w:r>
        <w:rPr>
          <w:rFonts w:ascii="仿宋" w:hAnsi="Times New Roman" w:eastAsia="仿宋" w:cs="仿宋"/>
          <w:kern w:val="2"/>
          <w:sz w:val="32"/>
          <w:szCs w:val="32"/>
          <w:highlight w:val="white"/>
        </w:rPr>
        <w:t>22．社会保障和就业支出（类）行政事业单位离退休（款）机关事业单位基本养老保险缴费支出（项）：指反映机关事业单位实施养老保险制度由单位缴纳的基本养老保险费支出。</w:t>
      </w:r>
    </w:p>
    <w:p>
      <w:pPr>
        <w:pStyle w:val="2"/>
        <w:ind w:firstLine="640" w:firstLineChars="200"/>
        <w:rPr>
          <w:rFonts w:hint="default" w:ascii="仿宋" w:hAnsi="Times New Roman" w:eastAsia="仿宋" w:cs="仿宋"/>
          <w:kern w:val="2"/>
          <w:sz w:val="32"/>
          <w:szCs w:val="32"/>
          <w:highlight w:val="white"/>
        </w:rPr>
      </w:pPr>
      <w:r>
        <w:rPr>
          <w:rFonts w:ascii="仿宋" w:hAnsi="Times New Roman" w:eastAsia="仿宋" w:cs="仿宋"/>
          <w:kern w:val="2"/>
          <w:sz w:val="32"/>
          <w:szCs w:val="32"/>
          <w:highlight w:val="white"/>
        </w:rPr>
        <w:t>23．社会保障和就业支出（类）行政事业单位离退休（款）  机关事业单位职业年金缴费支出（项）：指反映机关事业单位实施养老保险制度由单位实际缴纳的职业年金支出。</w:t>
      </w:r>
    </w:p>
    <w:p>
      <w:pPr>
        <w:pStyle w:val="2"/>
        <w:ind w:firstLine="640" w:firstLineChars="200"/>
        <w:rPr>
          <w:rFonts w:hint="default" w:ascii="仿宋" w:hAnsi="Times New Roman" w:eastAsia="仿宋" w:cs="仿宋"/>
          <w:kern w:val="2"/>
          <w:sz w:val="32"/>
          <w:szCs w:val="32"/>
          <w:highlight w:val="white"/>
        </w:rPr>
      </w:pPr>
      <w:r>
        <w:rPr>
          <w:rFonts w:ascii="仿宋" w:hAnsi="Times New Roman" w:eastAsia="仿宋" w:cs="仿宋"/>
          <w:kern w:val="2"/>
          <w:sz w:val="32"/>
          <w:szCs w:val="32"/>
          <w:highlight w:val="white"/>
        </w:rPr>
        <w:t>24．医疗卫生与计划生育支出（类）行政事业单位医疗（款）行政单位医疗（项）：指反映财政部门安排的行政单位（包括实行公务员管理的事业单位）基本医疗保险缴费经费，未参加医疗保险行政单位的公费医疗经费，按照国家规定享受离休人员、红军老战士待遇人员的医疗经费。</w:t>
      </w:r>
    </w:p>
    <w:p>
      <w:pPr>
        <w:pStyle w:val="2"/>
        <w:ind w:firstLine="640" w:firstLineChars="200"/>
        <w:rPr>
          <w:rFonts w:hint="default" w:eastAsia="仿宋"/>
        </w:rPr>
      </w:pPr>
      <w:r>
        <w:rPr>
          <w:rFonts w:ascii="仿宋" w:hAnsi="Times New Roman" w:eastAsia="仿宋" w:cs="仿宋"/>
          <w:kern w:val="2"/>
          <w:sz w:val="32"/>
          <w:szCs w:val="32"/>
          <w:highlight w:val="white"/>
        </w:rPr>
        <w:t>25．住房保障支出（类）住房改革支出（款）住房公积金（项）：指反映行政事业单位用财政拨款资金和其他资金等安排的住房改革支出。</w:t>
      </w:r>
    </w:p>
    <w:p/>
    <w:sectPr>
      <w:foot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97FA58"/>
    <w:multiLevelType w:val="singleLevel"/>
    <w:tmpl w:val="F397FA5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33781"/>
    <w:rsid w:val="03E7195D"/>
    <w:rsid w:val="048F4364"/>
    <w:rsid w:val="04E26537"/>
    <w:rsid w:val="06C9674A"/>
    <w:rsid w:val="08E260C1"/>
    <w:rsid w:val="0AA25962"/>
    <w:rsid w:val="0B983C3E"/>
    <w:rsid w:val="0C013D51"/>
    <w:rsid w:val="0C0B75EA"/>
    <w:rsid w:val="0C1823AA"/>
    <w:rsid w:val="133C551A"/>
    <w:rsid w:val="13576B0B"/>
    <w:rsid w:val="17560D6A"/>
    <w:rsid w:val="182A1A86"/>
    <w:rsid w:val="1CD479B9"/>
    <w:rsid w:val="1DD0500D"/>
    <w:rsid w:val="2107431F"/>
    <w:rsid w:val="210C05A9"/>
    <w:rsid w:val="215A157D"/>
    <w:rsid w:val="21EE2D97"/>
    <w:rsid w:val="21FD765F"/>
    <w:rsid w:val="21FE666D"/>
    <w:rsid w:val="22E42FC3"/>
    <w:rsid w:val="2317338C"/>
    <w:rsid w:val="237E68D7"/>
    <w:rsid w:val="249E05B5"/>
    <w:rsid w:val="25B83730"/>
    <w:rsid w:val="269702AD"/>
    <w:rsid w:val="26AA7FB0"/>
    <w:rsid w:val="287F3D05"/>
    <w:rsid w:val="2923256B"/>
    <w:rsid w:val="2A07292B"/>
    <w:rsid w:val="2B500D5C"/>
    <w:rsid w:val="2F0544B3"/>
    <w:rsid w:val="300467A2"/>
    <w:rsid w:val="31CF6104"/>
    <w:rsid w:val="323749BC"/>
    <w:rsid w:val="32D34572"/>
    <w:rsid w:val="339A40EB"/>
    <w:rsid w:val="36671F9C"/>
    <w:rsid w:val="367FD364"/>
    <w:rsid w:val="3A0969E5"/>
    <w:rsid w:val="3A6C288A"/>
    <w:rsid w:val="3B864A67"/>
    <w:rsid w:val="3CC54171"/>
    <w:rsid w:val="3E62223A"/>
    <w:rsid w:val="3F961647"/>
    <w:rsid w:val="401A0E1E"/>
    <w:rsid w:val="40753C60"/>
    <w:rsid w:val="416E4A13"/>
    <w:rsid w:val="44325B12"/>
    <w:rsid w:val="449271FD"/>
    <w:rsid w:val="47E123FE"/>
    <w:rsid w:val="47EFED3D"/>
    <w:rsid w:val="489624AE"/>
    <w:rsid w:val="48FA1A8E"/>
    <w:rsid w:val="4C8E363C"/>
    <w:rsid w:val="4DE90ECE"/>
    <w:rsid w:val="4F861C64"/>
    <w:rsid w:val="50063161"/>
    <w:rsid w:val="50D45B21"/>
    <w:rsid w:val="515266E1"/>
    <w:rsid w:val="51580073"/>
    <w:rsid w:val="517F00D6"/>
    <w:rsid w:val="531705F2"/>
    <w:rsid w:val="55DC710F"/>
    <w:rsid w:val="55DFCCE6"/>
    <w:rsid w:val="5613453C"/>
    <w:rsid w:val="56F55F61"/>
    <w:rsid w:val="58344880"/>
    <w:rsid w:val="59B65208"/>
    <w:rsid w:val="5A1B3728"/>
    <w:rsid w:val="5B5E4801"/>
    <w:rsid w:val="5BE5055C"/>
    <w:rsid w:val="5DAFDE12"/>
    <w:rsid w:val="5E1007E9"/>
    <w:rsid w:val="5E956AD0"/>
    <w:rsid w:val="5F02066B"/>
    <w:rsid w:val="611B7483"/>
    <w:rsid w:val="62EC58F5"/>
    <w:rsid w:val="637000E7"/>
    <w:rsid w:val="64BF1851"/>
    <w:rsid w:val="65A52509"/>
    <w:rsid w:val="667E3FFE"/>
    <w:rsid w:val="68D5781C"/>
    <w:rsid w:val="6A4F2037"/>
    <w:rsid w:val="6A77118A"/>
    <w:rsid w:val="6BA7310B"/>
    <w:rsid w:val="6D4010F3"/>
    <w:rsid w:val="6D906DD0"/>
    <w:rsid w:val="6D9C4DB6"/>
    <w:rsid w:val="6F9DB8D1"/>
    <w:rsid w:val="7060728B"/>
    <w:rsid w:val="72232E22"/>
    <w:rsid w:val="724E77F8"/>
    <w:rsid w:val="730D71BF"/>
    <w:rsid w:val="74511655"/>
    <w:rsid w:val="75F5567B"/>
    <w:rsid w:val="7711639B"/>
    <w:rsid w:val="79486D0A"/>
    <w:rsid w:val="7AF0192E"/>
    <w:rsid w:val="7BFF2348"/>
    <w:rsid w:val="7EB9E57E"/>
    <w:rsid w:val="7F7B6983"/>
    <w:rsid w:val="7FBF768B"/>
    <w:rsid w:val="7FDF70F3"/>
    <w:rsid w:val="7FDF9738"/>
    <w:rsid w:val="A7F2C0FB"/>
    <w:rsid w:val="D8FD6291"/>
    <w:rsid w:val="DB77C60F"/>
    <w:rsid w:val="DFDFA4BA"/>
    <w:rsid w:val="E2AE7CF1"/>
    <w:rsid w:val="EECDF14B"/>
    <w:rsid w:val="F3FF00EE"/>
    <w:rsid w:val="F75503D8"/>
    <w:rsid w:val="FEAB0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2021-08-30T18:50:00Z</dcterms:created>
  <dc:creator>Administrator</dc:creator>
  <cp:lastModifiedBy>Administrator</cp:lastModifiedBy>
  <dcterms:modified xsi:type="dcterms:W3CDTF">2022-11-09T10:40:48Z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